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B3201" Type="http://schemas.openxmlformats.org/officeDocument/2006/relationships/officeDocument" Target="/word/document.xml" /><Relationship Id="coreR214B3201" Type="http://schemas.openxmlformats.org/package/2006/relationships/metadata/core-properties" Target="/docProps/core.xml" /><Relationship Id="customR214B32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Tkadlec/tkadlena a střední vzdělání s maturitní zkouškou a alespoň 5 let odborné praxe v tkalcovské výrobě.</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Tkadlec/tkadlena, 30.9.2026 8:37:54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EF4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86B4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EFCA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