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2F4E26" Type="http://schemas.openxmlformats.org/officeDocument/2006/relationships/officeDocument" Target="/word/document.xml" /><Relationship Id="coreR2D2F4E26" Type="http://schemas.openxmlformats.org/package/2006/relationships/metadata/core-properties" Target="/docProps/core.xml" /><Relationship Id="customR2D2F4E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20.10.2019</w:t>
      </w:r>
    </w:p>
    <w:p>
      <w:pPr>
        <w:pStyle w:val="P21"/>
        <w:framePr w:w="7654" w:h="331" w:hRule="exact" w:wrap="none" w:vAnchor="page" w:hAnchor="margin" w:x="28" w:y="15940"/>
        <w:rPr>
          <w:rStyle w:val="C16"/>
          <w:rtl w:val="0"/>
        </w:rPr>
      </w:pPr>
      <w:r>
        <w:rPr>
          <w:rStyle w:val="C16"/>
          <w:rtl w:val="0"/>
        </w:rPr>
        <w:t>Šička oděvních výrobků, 20.10.2026 9:50:23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obnitkovat okraje zadního dílu; podlepit náramenice, zákrční části, průramkové části a koncové záložky zadních dílů; sešít středový šev a odšít pasové záševky zadního dílu; rozžehlit středový šev a přežehlit záševky; zapošít záložku saka strojem; 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prováděné operace.</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Šička oděvních výrobků, 20.10.2026 9:50:23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 (AK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20.10.2026 9:50:23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