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A91BB" Type="http://schemas.openxmlformats.org/officeDocument/2006/relationships/officeDocument" Target="/word/document.xml" /><Relationship Id="coreR2BDA91BB" Type="http://schemas.openxmlformats.org/package/2006/relationships/metadata/core-properties" Target="/docProps/core.xml" /><Relationship Id="customR2BDA91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20.10.2019</w:t>
      </w:r>
    </w:p>
    <w:p>
      <w:pPr>
        <w:pStyle w:val="P21"/>
        <w:framePr w:w="7654" w:h="331" w:hRule="exact" w:wrap="none" w:vAnchor="page" w:hAnchor="margin" w:x="28" w:y="15940"/>
        <w:rPr>
          <w:rStyle w:val="C16"/>
          <w:rtl w:val="0"/>
        </w:rPr>
      </w:pPr>
      <w:r>
        <w:rPr>
          <w:rStyle w:val="C16"/>
          <w:rtl w:val="0"/>
        </w:rPr>
        <w:t>Šička oděvních výrobků, 20.4.2026 2:22:35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obnitkovat okraje zadního dílu; podlepit náramenice, zákrční části, průramkové části a koncové záložky zadních dílů; sešít středový šev a odšít pasové záševky zadního dílu; rozžehlit středový šev a přežehlit záševky; zapošít záložku saka strojem; 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prováděné operace.</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Šička oděvních výrobků, 20.4.2026 2:22:35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 (AK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20.4.2026 2:22:35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