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1F5F53" Type="http://schemas.openxmlformats.org/officeDocument/2006/relationships/officeDocument" Target="/word/document.xml" /><Relationship Id="coreR101F5F53" Type="http://schemas.openxmlformats.org/package/2006/relationships/metadata/core-properties" Target="/docProps/core.xml" /><Relationship Id="customR101F5F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Pstruhař/pstruhařka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Pstruhař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ryb na farmách a ve speciálních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Krmení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reprodukce chovaných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Chov raných stádií, plůdku, násad až po tržní ryby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Výlov ryb ze speciálních zařízení a jejich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Pstruhař/pstruhařka, 30.9.2026 3:37:51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https://www.nsp.cz/jednotka-prace/pstruhar#zdravotni-zpusobilost).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zvládání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biologickém rytmu chovu ryb.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Pstruhař/pstruhařka, 30.9.2026 3:37:51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Pstruhař/pstruhařka, 30.9.2026 3:37:51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