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062773" Type="http://schemas.openxmlformats.org/officeDocument/2006/relationships/officeDocument" Target="/word/document.xml" /><Relationship Id="coreR57062773" Type="http://schemas.openxmlformats.org/package/2006/relationships/metadata/core-properties" Target="/docProps/core.xml" /><Relationship Id="customR570627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Pstruhař/pstruhařka (kód: 41-013-H)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Pstruhař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evidence o chovu ryb na farmách a ve speciálních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Krmení ryb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zooveterinárních opatření v chovech ryb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reprodukce chovaných ryb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Chov raných stádií, plůdku, násad až po tržní ryby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Výlov ryb ze speciálních zařízení a jejich expedice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Pstruhař/pstruhařka, 20.10.2026 10:23:50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https://www.nsp.cz/jednotka-prace/pstruhar#zdravotni-zpusobilost).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zvládání předváděných operací. Přitom je nutno posuzovat nejen dosažený výsledek, ale i samostatnost při rozhodování o nejvhodnějším postupu řešení zadaného úkolu podle daných podmínek pracoviště. Důraz je třeba klást na šetrnou manipulaci s rybami podloženou dostatečnými odbornými vědomostmi a dovednostmi.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Termín vykonání zkoušky je závislý na biologickém rytmu chovu ryb.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Pstruhař/pstruhařka, 20.10.2026 10:23:50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rybářská škola a VOŠ vodního hospodářství a ekologie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Jihočeská univerzita Č. Budějovice, Fakulta rybářství a ochrany vod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 - OSVČ, poradenská činnost v oblasti rybářství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Rybářsví Nové Hrady,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Pstruhař/pstruhařka, 20.10.2026 10:23:50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