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9FF01" Type="http://schemas.openxmlformats.org/officeDocument/2006/relationships/officeDocument" Target="/word/document.xml" /><Relationship Id="coreR32F9FF01" Type="http://schemas.openxmlformats.org/package/2006/relationships/metadata/core-properties" Target="/docProps/core.xml" /><Relationship Id="customR32F9FF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a písemné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a ústní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pstruhař a střední vzdělání s maturitní zkouškou a 10 let odborné praxe v oblasti intenzivních chovů lososovitých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zařízení pro chov ryb</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násadové a tržní lososovité ryby</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a přípravky – záznamy o práci v líhni, o spotřebě krmiv, přístroje pro analýzy vody, krmítka, váhy, dezinfekční prostředek, měřidla na ryby, vaničky, vědra, misky, líhňařské přístroje, planktonní síť, síta na třídění živého zooplanktonu, třídička na ryby, keser, drobné sítěné nářadí</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Pstruhař, 30.9.2026 2:36:25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