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D65BC4" Type="http://schemas.openxmlformats.org/officeDocument/2006/relationships/officeDocument" Target="/word/document.xml" /><Relationship Id="coreR6AD65BC4" Type="http://schemas.openxmlformats.org/package/2006/relationships/metadata/core-properties" Target="/docProps/core.xml" /><Relationship Id="customR6AD65B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terarijní zvířata,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terarijních zvířat,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terarijních zvířat v lidské péči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terarijních zvířat,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terarijních zvířat, sledování diagnostických příznaků případných onemocnění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terarijních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Zabezpečení welfare v chovech terarijních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Aplikace zákonů, nařízení a mezinárodních dohod upravujících chov ohrožených druhů světové fauny (CITES)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Odchyt a odborná manipulace s terarijními zvířaty, transport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kvalifikovaných informací z oblasti chovu terarijních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https://nsp.cz/jednotka-prace/chovatel-terarijnich-zvir#zdravotni-zpusobilost).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hygieny práce, pozornost věnovat kvalitě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odchytu a fixaci v případě ošetření a transportů ve smyslu omezení stresu a nebezpečí poranění zvířat, stejně tak jako vysvětlit nebezpečí pro chovatele v případě manipulace s velkými a nebezpečnými druhy plazů.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