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74EED1" Type="http://schemas.openxmlformats.org/officeDocument/2006/relationships/officeDocument" Target="/word/document.xml" /><Relationship Id="coreR974EED1" Type="http://schemas.openxmlformats.org/package/2006/relationships/metadata/core-properties" Target="/docProps/core.xml" /><Relationship Id="customR974EE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součástek strunných hudebních nástrojů (kód: 33-041-M)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součástek strunných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výrobu součástek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součástek strunných hudebních nástrojů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Tvarování součástek a jejich součástí pro strunné hudební nástroje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Povrchová úprava součástek strunných hudebních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 při výrobě hudebních nástrojů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součástek strunných hudebních nástrojů, 30.9.2026 1:43:55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 zkoušky předloží vlastnoručně zhotovenou garnituru. Při ověřování kritérií hodnocení je kladen důraz na volbu vhodné technologie a materiálu s přihlédnutím na detailní zpracování jednotlivých součástek strunných hudebních nástrojů, které dostane uchazeč k dispozici.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ověřeni: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provádí, a vlastními slovy vysvětlí, popíše, definuje prvky zadané v kritériích hodnocení.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hotových předložených součástek a související dílčí operace vyplývající ze zadání. Při hodnocení hotových výrobků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součástek strunných hudebních nástrojů, 30.9.2026 1:43:55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součástek strunných hudebních nástrojů, 30.9.2026 1:43:55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