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CE3841" Type="http://schemas.openxmlformats.org/officeDocument/2006/relationships/officeDocument" Target="/word/document.xml" /><Relationship Id="coreR1FCE3841" Type="http://schemas.openxmlformats.org/package/2006/relationships/metadata/core-properties" Target="/docProps/core.xml" /><Relationship Id="customR1FCE38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součástek strunných hudebních nástrojů (kód: 33-041-M)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součástek strunných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výrobu součástek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součástek strunných hudebních nástrojů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Tvarování součástek a jejich součástí pro strunné hudební nástroje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Povrchová úprava součástek strunných hudebních nástrojů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Strojní obrábění dřevěných materiálů při výrobě hudebních nástrojů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05.08.2013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součástek strunných hudebních nástrojů, 20.10.2026 12:55:46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by měl být kladen důraz na volbu vhodné technologie a materiálu s přihlédnutím na detailní zpracování jednotlivých částí hudebního nástroje. 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obsluha, pracovní postupy při strojním opracování dřevěných materiálů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součástek strunných hudebních nástrojů, 20.10.2026 12:55:46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součástek strunných hudebních nástrojů, 20.10.2026 12:55:46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