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98A745" Type="http://schemas.openxmlformats.org/officeDocument/2006/relationships/officeDocument" Target="/word/document.xml" /><Relationship Id="coreR3098A745" Type="http://schemas.openxmlformats.org/package/2006/relationships/metadata/core-properties" Target="/docProps/core.xml" /><Relationship Id="customR3098A7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rámových dřevostaveb, 7.7.2026 19:06:31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rámových dřevostaveb souvisí s profesní kvalifikací Tesař/tesařka pro zhotovování, montáž a opravy dřevostaveb.</w:t>
      </w:r>
    </w:p>
    <w:p>
      <w:pPr>
        <w:pStyle w:val="P6"/>
        <w:framePr w:w="10710" w:h="478" w:hRule="exact" w:wrap="none" w:vAnchor="page" w:hAnchor="margin" w:x="28" w:y="6433"/>
        <w:rPr>
          <w:rStyle w:val="C7"/>
          <w:rtl w:val="0"/>
        </w:rPr>
      </w:pPr>
      <w:r>
        <w:rPr>
          <w:rStyle w:val="C7"/>
          <w:rtl w:val="0"/>
        </w:rPr>
        <w:t>Profesní kvalifikace Výrobce/výrobkyně rámových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rámových dřevostaveb, 7.7.2026 19:06:31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