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354286" Type="http://schemas.openxmlformats.org/officeDocument/2006/relationships/officeDocument" Target="/word/document.xml" /><Relationship Id="coreRA354286" Type="http://schemas.openxmlformats.org/package/2006/relationships/metadata/core-properties" Target="/docProps/core.xml" /><Relationship Id="customRA3542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a demontáž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a demontáž nábytku a interiérových prvků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aj. materiálů vrtáním otvorů a začištění elektrickými a ručními nástroji a nářadím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montáži nábytku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31.7.2026 14:46:57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ke splnění zadaného montážního úkolu s využitím běžně používaných technologických postupů a s tím, že ověřování některých kritérií by probíhalo i mimo tento propojený rámec činností.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montáž a demontáž požadovaného nábytkářského výrobku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obrábění materiálů na bázi dřeva, plastů a kovů řezáním, hoblováním, tvarováním, dlabáním, vrtáním, broušením atd. ručními nástroji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nábytku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seřizování a běžná údržba ručních dřevoobráběcích strojů, nástrojů a nářadí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práce, zpracovaný v rámci ověřování odborné dovednosti č. 2 (Volba postupu práce, způsobu zpracování, nástrojů a materiálů pro montáž a demontáž nábytku a interiérových prvků), musí obsahovat montáž samotných výrobků z dodaných dílců a spojovacích materiálů a jejich ukotvení ke stavební konstrukci s ohledem na vlastnosti použitých materiálů a provedení výrobků a stavby.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31.7.2026 14:46:57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PROFIL NÁBYTEK,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31.7.2026 14:46:57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