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88E25" Type="http://schemas.openxmlformats.org/officeDocument/2006/relationships/officeDocument" Target="/word/document.xml" /><Relationship Id="coreRBF88E25" Type="http://schemas.openxmlformats.org/package/2006/relationships/metadata/core-properties" Target="/docProps/core.xml" /><Relationship Id="customRBF88E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koster pro čalouněný nábytek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materiálů, polotovarů a dílců pro výrobu kostry pro čalouněný nábytek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standardních dílců pro výrobu atypické kostry pro čalouněný nábytek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kostry pro čalouněný nábytek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funkčních mechanismů do kostry pro čalouněný nábytek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kostry pro čalouněný nábytek a její předání na další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18.10.2026 16:30:25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https://www.nsp.cz/jednotka-prace/pracovnik-vyroby-koster-p#zdravotni-zpusobilost).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ke zhotovení koster pro 2 typy čalouněného nábytku (područka sedačky, sedačka s rozkládacím mechanismem) za použití různých druhů materiálů (dřevotřískové a dřevovláknité desky, překližka, laťovka, masivní dřevo) s využitím běžně používaných technologických postupů a při dodržování standardně dovolených tolerancí.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přípravu a kontrolu polotovarů, dílců a komponentů, kontrolu a seřízení ručního nářadí, práci s ručním nářadím, předmontáž podsestav, montáž výrobku z připravených dílců, montáž kování, komponentů a mechanismů.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18.10.2026 16:30:25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18.10.2026 16:30:25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