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25CC62" Type="http://schemas.openxmlformats.org/officeDocument/2006/relationships/officeDocument" Target="/word/document.xml" /><Relationship Id="coreR1025CC62" Type="http://schemas.openxmlformats.org/package/2006/relationships/metadata/core-properties" Target="/docProps/core.xml" /><Relationship Id="customR1025CC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koster pro čalouněný nábytek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materiálů, polotovarů a dílců pro výrobu kostry pro čalouněný nábytek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standardních dílců pro výrobu atypické kostry pro čalouněný nábytek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kostry pro čalouněný nábytek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funkčních mechanismů do kostry pro čalouněný nábytek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kostry pro čalouněný nábytek a její předání na další pracoviště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koster pro čalouněný nábytek, 18.10.2026 19:23:45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https://www.nsp.cz/jednotka-prace/pracovnik-vyroby-koster-p#zdravotni-zpusobilost).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ke zhotovení koster pro 2 typy čalouněného nábytku (područka sedačky, sedačka s rozkládacím mechanismem) za použití různých druhů materiálů (dřevotřískové a dřevovláknité desky, překližka, laťovka, masivní dřevo) s využitím běžně používaných technologických postupů a při dodržování standardně dovolených tolerancí.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přípravu a kontrolu polotovarů, dílců a komponentů, kontrolu a seřízení ručního nářadí, práci s ručním nářadím, předmontáž podsestav, montáž výrobku z připravených dílců, montáž kování, komponentů a mechanismů.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koster pro čalouněný nábytek, 18.10.2026 19:23:45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koster pro čalouněný nábytek, 18.10.2026 19:23:45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