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3F8A1" Type="http://schemas.openxmlformats.org/officeDocument/2006/relationships/officeDocument" Target="/word/document.xml" /><Relationship Id="coreR2B3F8A1" Type="http://schemas.openxmlformats.org/package/2006/relationships/metadata/core-properties" Target="/docProps/core.xml" /><Relationship Id="customR2B3F8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Designér/designérka koupelen (kód: 28-046-N)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Interiérový designér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provozních a funkčních potřeb uživatelů interiéru koupelny, wellness a sociálního zařízení a dalších prostor vybavených keramickými, skleněnými a kamennými obklady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831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Vypracování dispozičního a barevného řešení a grafické vizualizace návrhu realizace nebo rekonstrukce koupelny, wellness a sociálního zařízení a dalších prostor vybavených keramickými, skleněnými a kamennými obklady</w:t>
      </w:r>
    </w:p>
    <w:p>
      <w:pPr>
        <w:pStyle w:val="P18"/>
        <w:framePr w:w="805" w:h="831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05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13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realizaci nebo rekonstrukci koupelny, wellness, sociálního zařízení a dalších prostor</w:t>
      </w:r>
    </w:p>
    <w:p>
      <w:pPr>
        <w:pStyle w:val="P14"/>
        <w:framePr w:w="805" w:h="607" w:hRule="exact" w:wrap="none" w:vAnchor="page" w:hAnchor="margin" w:x="9916" w:y="705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1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20"/>
        <w:rPr>
          <w:rStyle w:val="C13"/>
          <w:rtl w:val="0"/>
        </w:rPr>
      </w:pPr>
      <w:r>
        <w:rPr>
          <w:rStyle w:val="C13"/>
          <w:rtl w:val="0"/>
        </w:rPr>
        <w:t>Orientace v problematice návrhů interiérů a dalších prostor</w:t>
      </w:r>
    </w:p>
    <w:p>
      <w:pPr>
        <w:pStyle w:val="P18"/>
        <w:framePr w:w="805" w:h="376" w:hRule="exact" w:wrap="none" w:vAnchor="page" w:hAnchor="margin" w:x="9916" w:y="7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2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Orientace ve stavebních konstrukcích z hlediska potřeb designera</w:t>
      </w:r>
    </w:p>
    <w:p>
      <w:pPr>
        <w:pStyle w:val="P14"/>
        <w:framePr w:w="805" w:h="376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Poradenství při výběru obkladových materiálů a zařizovacích předmětů do koupelny, wellness a sociálního zařízení a dalších prostor vybavených keramickými, skleněnými a kamennými obklady</w:t>
      </w:r>
    </w:p>
    <w:p>
      <w:pPr>
        <w:pStyle w:val="P18"/>
        <w:framePr w:w="805" w:h="607" w:hRule="exact" w:wrap="none" w:vAnchor="page" w:hAnchor="margin" w:x="9916" w:y="841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0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080"/>
        <w:rPr>
          <w:rStyle w:val="C11"/>
          <w:rtl w:val="0"/>
        </w:rPr>
      </w:pPr>
      <w:r>
        <w:rPr>
          <w:rStyle w:val="C11"/>
          <w:rtl w:val="0"/>
        </w:rPr>
        <w:t>Komunikace se zákazníkem a péče o zákazníka</w:t>
      </w:r>
    </w:p>
    <w:p>
      <w:pPr>
        <w:pStyle w:val="P14"/>
        <w:framePr w:w="805" w:h="376" w:hRule="exact" w:wrap="none" w:vAnchor="page" w:hAnchor="margin" w:x="9916" w:y="90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0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6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67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koupelen, 25.10.2026 4:09:52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AOs připraví pro uchazeče počítač s nainstalovaným kancelářským SW obsahující textový editor, tabulkový procesor, běžný vizualizační SW, připojení na internet.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časové náročnosti přípravy vizualizace a přípravy kladečského plánu je zkouška rozdělena do více dnů.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Vypracování dispozičního a barevného řešení a grafické vizualizace návrhu realizace nebo rekonstrukce koupelny, wellness a sociálního zařízení a dalších prostor vybavených keramickými, skleněnými a kamennými obklady,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konkrétní zadání pro vytvoření kladečského plánu.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této odborné kompetence konkrétní zadání pro výpočet spotřeby obkladových prvků a spotřeby ostaních materiálů (lepidel, spárovacích hmot, lišt a dalších materiálů).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Poradenství při výběru obkladových materiálů a zařizovacích předmětů do koupelny, wellness a sociálního zařízení a dalších prostor vybavených keramickými, skleněnými a kamennými obklady,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p) minimálně jednu případovou studii pro každého uchazeče. </w:t>
      </w:r>
    </w:p>
    <w:p>
      <w:pPr>
        <w:keepNext w:val="0"/>
        <w:keepLines w:val="0"/>
        <w:framePr w:w="10766" w:h="73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provozních a funkčních potřeb uživatelů interiéru koupelny, wellness a sociálního zařízení a dalších prostor vybavených keramickými, skleněnými a kamennými obklady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Komunikace se zákazníkem a péče o zákazníka,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jednu modelovou situaci pro každou ověřovanou kompetenci.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koupelen, 25.10.2026 4:09:52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 - Radka Konečná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AGT Studio - Ing. Pavel Kopl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Hornbach CZ - Mgr. Zdeněk Resler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- PhDr. Eduard Justa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Designér/designérka koupelen, 25.10.2026 4:09:52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