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E043A" Type="http://schemas.openxmlformats.org/officeDocument/2006/relationships/officeDocument" Target="/word/document.xml" /><Relationship Id="coreR54BE043A" Type="http://schemas.openxmlformats.org/package/2006/relationships/metadata/core-properties" Target="/docProps/core.xml" /><Relationship Id="customR54BE04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jejích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Písemné ověření s ústní obhajobou</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Písemné ověření s ústní obhajobou</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s ústním vysvětlením</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Písemné ověření s ústní obhajobou</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Řezání, stříhání, sekání a probíjení materiálů, plechů a profilů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Pilování ploch</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pStyle w:val="P21"/>
        <w:framePr w:w="7654" w:h="331" w:hRule="exact" w:wrap="none" w:vAnchor="page" w:hAnchor="margin" w:x="28" w:y="15940"/>
        <w:rPr>
          <w:rStyle w:val="C16"/>
          <w:rtl w:val="0"/>
        </w:rPr>
      </w:pPr>
      <w:r>
        <w:rPr>
          <w:rStyle w:val="C16"/>
          <w:rtl w:val="0"/>
        </w:rPr>
        <w:t>Provozní zámečník, 31.7.2026 14:39:19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