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23798" Type="http://schemas.openxmlformats.org/officeDocument/2006/relationships/officeDocument" Target="/word/document.xml" /><Relationship Id="coreR7E723798" Type="http://schemas.openxmlformats.org/package/2006/relationships/metadata/core-properties" Target="/docProps/core.xml" /><Relationship Id="customR7E7237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Provozní zámečník, 9.9.2026 22:50:47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jejích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Písemné ověření s ústní obhajobou</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Písemné ověření s ústní obhajobou</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s ústním vysvětlením</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Písemné ověření s ústní obhajobou</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9.9.2026 22:50:47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9.9.2026 22:50:47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Řezání, stříhání, sekání a probíjení materiálů, plechů a profilů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Pilování ploch</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9.9.2026 22:50:47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9.9.2026 22:50:47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9.9.2026 22:50:47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9.9.2026 22:50:47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pStyle w:val="P21"/>
        <w:framePr w:w="7654" w:h="331" w:hRule="exact" w:wrap="none" w:vAnchor="page" w:hAnchor="margin" w:x="28" w:y="15940"/>
        <w:rPr>
          <w:rStyle w:val="C16"/>
          <w:rtl w:val="0"/>
        </w:rPr>
      </w:pPr>
      <w:r>
        <w:rPr>
          <w:rStyle w:val="C16"/>
          <w:rtl w:val="0"/>
        </w:rPr>
        <w:t>Provozní zámečník, 9.9.2026 22:50:47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