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E0A147" Type="http://schemas.openxmlformats.org/officeDocument/2006/relationships/officeDocument" Target="/word/document.xml" /><Relationship Id="coreR66E0A147" Type="http://schemas.openxmlformats.org/package/2006/relationships/metadata/core-properties" Target="/docProps/core.xml" /><Relationship Id="customR66E0A14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Brusič drahých kamenů, 11.9.2026 20:15:28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6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 drahých kamenů, 11.9.2026 20:15:28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řemesla a umělecká řemesla, sekce uměleckořemeslná,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pStyle w:val="P21"/>
        <w:framePr w:w="7654" w:h="331" w:hRule="exact" w:wrap="none" w:vAnchor="page" w:hAnchor="margin" w:x="28" w:y="15940"/>
        <w:rPr>
          <w:rStyle w:val="C16"/>
          <w:rtl w:val="0"/>
        </w:rPr>
      </w:pPr>
      <w:r>
        <w:rPr>
          <w:rStyle w:val="C16"/>
          <w:rtl w:val="0"/>
        </w:rPr>
        <w:t>Brusič drahých kamenů, 11.9.2026 20:15:28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