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47A86F" Type="http://schemas.openxmlformats.org/officeDocument/2006/relationships/officeDocument" Target="/word/document.xml" /><Relationship Id="coreR3347A86F" Type="http://schemas.openxmlformats.org/package/2006/relationships/metadata/core-properties" Target="/docProps/core.xml" /><Relationship Id="customR3347A86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Rytec/rytkyně drahých kamenů (kód: 82-010-M)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Rytec drahých kamenů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 a způsobu zpracování rytin na drahých kamenech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Samostatné zpracování výtvarného návrhu na vybroušení drahých kamenů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ošetřování a údržba nástrojů a pomůcek pro rytí drahých kamenů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Rytí drahých kamenů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Rytec/rytkyně drahých kamenů, 30.9.2026 2:35:52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https://www.nsp.cz/jednotka-prace/rytec-drahych-kamenu#zdravotni-zpusobilost).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odborné kompetence Volba postupu práce a způsobu zpracování rytin na drahých kamenech, kritérium b) autorizovaná osoba předloží uchazeči fotografie nebo vzorky druhů rytin: intaglie, kamej, plastické výbrusy a ostatní druhy, nejméně 10 ks. 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kritériu c) a ověření následujících odborných kompetencí autorizovaná osoba dodá drahý kámen odrůd křemene - např. křišťál, achát, karneol, chalcedon ve velikosti 4 - 6 cm, na kterém uchazeč realizuje rytinu dle vlastního výtvarného návrhu.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Výtvarný návrh zhotoví technikou kresba tužkou na výkrese velikosti A4.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Samostatné zpracování výtvarného návrhu na vybroušení drahých kamenů, kritérium c) uchazeč bude zpracovávat odpovědi na otevřené otázky. 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dle tohoto standardu by mělo představovat komplex navazujících činností vedoucích k dohotovení finálního produktu s využitím příslušných technologických postupů a technik. Při ověřování kompetencí, zejména formou praktického předvedení, je třeba přihlížet především k dodržování povinností pro bezpečnou a zdraví neohrožující práci a dodržování technologické kázně.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Rytec/rytkyně drahých kamenů, 30.9.2026 2:35:52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Marta Dostrašilová ‒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Eva Víšková – OSVČ, SUPŠ a VOŠ Turnov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Vojtěch Záveský –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Danuše Machátová – OSVČ, Rudolfinea, o.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Rytec/rytkyně drahých kamenů, 30.9.2026 2:35:52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