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B45FD8" Type="http://schemas.openxmlformats.org/officeDocument/2006/relationships/officeDocument" Target="/word/document.xml" /><Relationship Id="coreR6CB45FD8" Type="http://schemas.openxmlformats.org/package/2006/relationships/metadata/core-properties" Target="/docProps/core.xml" /><Relationship Id="customR6CB45F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20.10.2026 7:32:13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https://www.nsp.cz/jednotka-prace/rytec-drahych-kamenu#zdravotni-zpusobilost).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Volba postupu práce a způsobu zpracování rytin na drahých kamenech, kritérium b) autorizovaná osoba předloží uchazeči fotografie nebo vzorky druhů rytin: intaglie, kamej, plastické výbrusy a ostatní druhy, nejméně 10 ks.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kritériu c) a ověření následujících odborných kompetencí autorizovaná osoba dodá drahý kámen odrůd křemene - např. křišťál, achát, karneol, chalcedon ve velikosti 4 - 6 cm, na kterém uchazeč realizuje rytinu dle vlastního výtvarného návrhu.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návrh zhotoví technikou kresba tužkou na výkrese velikosti A4.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Samostatné zpracování výtvarného návrhu na vybroušení drahých kamenů, kritérium c) uchazeč bude zpracovávat odpovědi na otevřené otázky.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dodržování povinností pro bezpečnou a zdraví neohrožující práci a dodržování technologické kázně.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20.10.2026 7:32:13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20.10.2026 7:32:13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