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9A272" Type="http://schemas.openxmlformats.org/officeDocument/2006/relationships/officeDocument" Target="/word/document.xml" /><Relationship Id="coreR16D9A272" Type="http://schemas.openxmlformats.org/package/2006/relationships/metadata/core-properties" Target="/docProps/core.xml" /><Relationship Id="customR16D9A2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20.10.2026 9:21:37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https://www.nsp.cz/jednotka-prace/rytec-drahych-kamenu#zdravotni-zpusobilost).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Volba postupu práce a způsobu zpracování rytin na drahých kamenech, kritérium b) autorizovaná osoba předloží uchazeči fotografie nebo vzorky druhů rytin: intaglie, kamej, plastické výbrusy a ostatní druhy, nejméně 10 ks.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kritériu c) a ověření následujících odborných kompetencí autorizovaná osoba dodá drahý kámen odrůd křemene - např. křišťál, achát, karneol, chalcedon ve velikosti 4 - 6 cm, na kterém uchazeč realizuje rytinu dle vlastního výtvarného návrhu.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návrh zhotoví technikou kresba tužkou na výkrese velikosti A4.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Samostatné zpracování výtvarného návrhu na vybroušení drahých kamenů, kritérium c) uchazeč bude zpracovávat odpovědi na otevřené otázky.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dodržování povinností pro bezpečnou a zdraví neohrožující práci a dodržování technologické kázně.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20.10.2026 9:21:37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20.10.2026 9:21:37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