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C5A3F" Type="http://schemas.openxmlformats.org/officeDocument/2006/relationships/officeDocument" Target="/word/document.xml" /><Relationship Id="coreR584C5A3F" Type="http://schemas.openxmlformats.org/package/2006/relationships/metadata/core-properties" Target="/docProps/core.xml" /><Relationship Id="customR584C5A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https://www.nsp.cz/jednotka-prace/rytec-drahych-kamenu#zdravotni-zpusobilost).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Volba postupu práce a způsobu zpracování rytin na drahých kamenech, kritérium b) autorizovaná osoba předloží uchazeči fotografie nebo vzorky druhů rytin: intaglie, kamej, plastické výbrusy a ostatní druhy, nejméně 10 ks.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c) a ověření následujících odborných kompetencí autorizovaná osoba dodá drahý kámen odrůd křemene - např. křišťál, achát, karneol, chalcedon ve velikosti 4 - 6 cm, na kterém uchazeč realizuje rytinu dle vlastního výtvarného návrhu.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návrh zhotoví technikou kresba tužkou na výkrese velikosti A4.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Samostatné zpracování výtvarného návrhu na vybroušení drahých kamenů, kritérium c) uchazeč bude zpracovávat odpovědi na otevřené otázky.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dodržování povinností pro bezpečnou a zdraví neohrožující práci a dodržování technologické kázně.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