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6A6C0D" Type="http://schemas.openxmlformats.org/officeDocument/2006/relationships/officeDocument" Target="/word/document.xml" /><Relationship Id="coreR376A6C0D" Type="http://schemas.openxmlformats.org/package/2006/relationships/metadata/core-properties" Target="/docProps/core.xml" /><Relationship Id="customR376A6C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drahých kamenů (kód: 82-010-M)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drahých kamenů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a způsobu zpracování rytin na drahých kamenech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návrhu na vybroušení drahých kamenů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ošetřování a údržba nástrojů a pomůcek pro rytí drahých kamenů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drahých kamenů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15.08.2013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drahých kamenů, 30.9.2026 5:45:02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komplexní ověření znalostí a dovedností tohoto hodnoticího standardu autorizovaná osoba předloží jeden kus vytvarovaného drahého kamene.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estetické ztvárnění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drahých kamenů, 30.9.2026 5:45:02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Eva Víšková – OSVČ, SUPŠ a VOŠ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Vojtěch Záveský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 – OSVČ, 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drahých kamenů, 30.9.2026 5:45:02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