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8310D" Type="http://schemas.openxmlformats.org/officeDocument/2006/relationships/officeDocument" Target="/word/document.xml" /><Relationship Id="coreRDC8310D" Type="http://schemas.openxmlformats.org/package/2006/relationships/metadata/core-properties" Target="/docProps/core.xml" /><Relationship Id="customRDC831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http://katalog.nsp.cz/karta_tp.aspx?id_jp=6279&amp;kod_sm1=30).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připraví modelové situace z výrobního procesu, které budou zaměřeny na ověřovanou kompetenci.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textilní, oděvní a kožedělný průmysl,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