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72ECBC" Type="http://schemas.openxmlformats.org/officeDocument/2006/relationships/officeDocument" Target="/word/document.xml" /><Relationship Id="coreR1572ECBC" Type="http://schemas.openxmlformats.org/package/2006/relationships/metadata/core-properties" Target="/docProps/core.xml" /><Relationship Id="customR1572EC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vodní drůbeže (kód: 41-034-H)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a značkování vodní drůbeže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v chovech vodní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dezinfekce prostor pro chov vodní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Sběr, ošetření a selekce násadových vajec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dávkování krmiva pro vodní drůbež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krmení, třídění a vyskladňování vodní drůbeže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vodní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Plemenitba v chovech vodní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Líhnutí vodní drůbeže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07.11.2007 do: 31.10.2012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vodní drůbeže, 20.10.2026 11:59:14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úkonů. Přitom je nutno posuzovat nejen dosažený výsledek, ale i samostatnost při rozhodování o nejvhodnějším postupu řešení zadaného úkolu podle daných podmínek pracoviště. Při práci je třeba hodnotit přístup ke zvířatům a respektování požadavků welfare.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vodní drůbeže, 20.10.2026 11:59:14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vodní drůbeže, 20.10.2026 11:59:14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