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8E627A" Type="http://schemas.openxmlformats.org/officeDocument/2006/relationships/officeDocument" Target="/word/document.xml" /><Relationship Id="coreR178E627A" Type="http://schemas.openxmlformats.org/package/2006/relationships/metadata/core-properties" Target="/docProps/core.xml" /><Relationship Id="customR178E62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/ slévárenská technička technoložka (kód: 21-038-M)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metodice zpracování slévárenského technologického postupu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technologického úseku slévárenské výroby a vazeb výrobní činnosti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slévárenské technologické dokumentace, archivace, změnové 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řízení kvality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kovových materiálech a slitinách pro výrobu odlitků a v jejich zkoušení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Využití systémů a standardů jakosti ve slévárenství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ekonomice slévárenské výroby a v technických dodacích podmínkách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/ slévárenská technička technoložka, 20.10.2026 9:49:22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https://www.nsp.cz/jednotka-prace/slevarensky-technik-techn-6045#zdravotni-zpusobilost).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zajistí, aby při ověřování jednotlivých kompetencí byla každému uchazeči zadána alespoň jedna modelová situace z každého úseku slévárenského provozu - tedy z tavírny, formovny, čistírny.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/ slévárenská technička technoložka, 20.10.2026 9:49:22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technická,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/ slévárenská technička technoložka, 20.10.2026 9:49:22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