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3D4D71" Type="http://schemas.openxmlformats.org/officeDocument/2006/relationships/officeDocument" Target="/word/document.xml" /><Relationship Id="coreR5B3D4D71" Type="http://schemas.openxmlformats.org/package/2006/relationships/metadata/core-properties" Target="/docProps/core.xml" /><Relationship Id="customR5B3D4D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foukací linky (kód: 28-041-H)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foukací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foukací linky, 20.10.2026 11:43:36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je pro vykonávání pracovních činností této profesní kvalifikace vyžadována a prokazuje se lékařským potvrzením (odkaz na povolání v NSP - https://nsp.cz/jednotka-prace/strojnik-sklarskych-zariz-dcc1#zdravotni-zpusobilost).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foukací linky, kritérium d), způsob kontroly a rozsah prací při výměně formy, formových dílů a foukací hlavy,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foukací linky, 20.10.2026 11:43:36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foukací linky, 20.10.2026 11:43:36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