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A93223" Type="http://schemas.openxmlformats.org/officeDocument/2006/relationships/officeDocument" Target="/word/document.xml" /><Relationship Id="coreRAA93223" Type="http://schemas.openxmlformats.org/package/2006/relationships/metadata/core-properties" Target="/docProps/core.xml" /><Relationship Id="customRAA932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foukací linky (kód: 28-041-H)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foukací linky, 20.8.2026 20:54:06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je pro vykonávání pracovních činností této profesní kvalifikace vyžadována a prokazuje se lékařským potvrzením (odkaz na povolání v NSP - https://nsp.cz/jednotka-prace/strojnik-sklarskych-zariz-dcc1#zdravotni-zpusobilost).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foukací linky, kritérium d), způsob kontroly a rozsah prací při výměně formy, formových dílů a foukací hlavy,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foukací linky, 20.8.2026 20:54:06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foukací linky, 20.8.2026 20:54:06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