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591442" Type="http://schemas.openxmlformats.org/officeDocument/2006/relationships/officeDocument" Target="/word/document.xml" /><Relationship Id="coreR35591442" Type="http://schemas.openxmlformats.org/package/2006/relationships/metadata/core-properties" Target="/docProps/core.xml" /><Relationship Id="customR355914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lisovací linky (kód: 28-044-H)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lisovací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lisovací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pro výrobu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lisovací linky, 30.9.2026 0:39:46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https://nsp.cz/jednotka-prace/strojnik-sklarskych-zariz-d081#zdravotni-zpusobilost).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určitého úseku sklářské výroby. Při ověřování kritérií formou praktického předvedení je třeba přihlížet k bezpečnému provádění všech úkonů a ke kvalitě zhotoveného produktu.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odborné kompetence Obsluha automatických a poloautomatických strojů lisovací linky, kritérium d) způsob kontroly a rozsah prací při výměně formy, formových dílů, podle zaměření konkrétní sklářské výroby a místa konaní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lisovací linky, 30.9.2026 0:39:46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průmyslu,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lisovací linky, 30.9.2026 0:39:46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