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22C03B" Type="http://schemas.openxmlformats.org/officeDocument/2006/relationships/officeDocument" Target="/word/document.xml" /><Relationship Id="coreR6122C03B" Type="http://schemas.openxmlformats.org/package/2006/relationships/metadata/core-properties" Target="/docProps/core.xml" /><Relationship Id="customR6122C0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sklářských zařízení pro rafinační linky (kód: 28-045-H)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rafinační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rafinační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na rafinačních linkách ve sklářství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na rafinačních linkách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rafinační linky, 18.10.2026 19:33:47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rafinační linky, kritérium d) způsob kontroly nastavení rafinačního zařízení,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rafinační linky, 18.10.2026 19:33:47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rafinační linky, 18.10.2026 19:33:47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