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55DD85" Type="http://schemas.openxmlformats.org/officeDocument/2006/relationships/officeDocument" Target="/word/document.xml" /><Relationship Id="coreR2D55DD85" Type="http://schemas.openxmlformats.org/package/2006/relationships/metadata/core-properties" Target="/docProps/core.xml" /><Relationship Id="customR2D55DD8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rafinační linky (kód: 28-045-H)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rafinační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rafinační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na rafinačních linkách ve sklářství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na rafinačních linkách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15.08.2013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http://katalog.nsp.cz/karta_p.aspx?id_jp=102051&amp;kod_sm1=35).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sklo, keramiku a zpracování minerálů, ustavená a licencovaná pro tuto činnost HK ČR a SP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VETROPACK MORAVIA GLASS, akciová společnost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odborná škola sklářská a Střední škola, Nový Bor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rafinační linky, 28.9.2026 14:54:12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