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AF4DB" Type="http://schemas.openxmlformats.org/officeDocument/2006/relationships/officeDocument" Target="/word/document.xml" /><Relationship Id="coreR1BAF4DB" Type="http://schemas.openxmlformats.org/package/2006/relationships/metadata/core-properties" Target="/docProps/core.xml" /><Relationship Id="customR1BAF4D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Úpravář textilií (kód: 31-030-H)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Úpravář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 xml:space="preserve">Posuzování kvality a klasifikace  upravených textilií včetně předepsané adjustace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pro zušlechťování plošných textilií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7"/>
        <w:framePr w:w="8788" w:h="340" w:hRule="exact" w:wrap="none" w:vAnchor="page" w:hAnchor="margin" w:x="28" w:y="6599"/>
        <w:rPr>
          <w:rStyle w:val="C8"/>
          <w:rtl w:val="0"/>
        </w:rPr>
      </w:pPr>
      <w:r>
        <w:rPr>
          <w:rStyle w:val="C8"/>
          <w:rtl w:val="0"/>
        </w:rPr>
        <w:t>Platnost standardu</w:t>
      </w:r>
    </w:p>
    <w:p>
      <w:pPr>
        <w:pStyle w:val="P20"/>
        <w:framePr w:w="4283" w:h="248" w:hRule="exact" w:wrap="none" w:vAnchor="page" w:hAnchor="margin" w:x="28" w:y="6939"/>
        <w:rPr>
          <w:rStyle w:val="C15"/>
          <w:rtl w:val="0"/>
        </w:rPr>
      </w:pPr>
      <w:r>
        <w:rPr>
          <w:rStyle w:val="C15"/>
          <w:rtl w:val="0"/>
        </w:rPr>
        <w:t>Standard je platný od: 01.08.2013 do: 05.11.2018</w:t>
      </w:r>
    </w:p>
    <w:p>
      <w:pPr>
        <w:pStyle w:val="P21"/>
        <w:framePr w:w="7654" w:h="331" w:hRule="exact" w:wrap="none" w:vAnchor="page" w:hAnchor="margin" w:x="28" w:y="15940"/>
        <w:rPr>
          <w:rStyle w:val="C16"/>
          <w:rtl w:val="0"/>
        </w:rPr>
      </w:pPr>
      <w:r>
        <w:rPr>
          <w:rStyle w:val="C16"/>
          <w:rtl w:val="0"/>
        </w:rPr>
        <w:t>Úpravář textilií, 18.10.2026 18:24:41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71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http://katalog.nsp.cz/karta_p.aspx?id_jp=29&amp;kod_sm1=29).</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zadáno upravit textilii.</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za běžného provozu při zušlechťování textilií, při kterém s ohledem na charakter výroby jde o velké finanční hodnoty zpracovávaných materiálů, strojů a linek a o kvalitu vyrobeného produktu. Aby se zamezilo finančním ztrátám, je žádoucí, aby uchazeč u každé prověřované odborné způsobilosti vykonával prakticky ty operace nebo pracovní úkony, viz kritéria hodnocení, které nezpůsobí finanční ztráty, tj. některé postupy simuluje, nebo některé pracovní úkony operací vykonává, pokud stroj není v chodu, nebo vykonává některé pracovní úkony operací pod dohledem řádné obsluhy, nebo vykonává pracovní úkony operací určené zkoušejícím a ostatní operace popíše nebo vysvětlí zkoušejícímu, vybrané úkony operací vykonává paralelně nebo ve spolupráci s řádnou obsluhou strojů a zařízení.</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dostane komplexní úkol a bude vykonávat operace (pracovní úkony) náležející k odborné způsobilosti, zkoušející bude sledovat plnění úkolu. Zkoušející bude sledovat uchazeče v průběhu plnění zadaného úkolu také z hlediska dodržování zásad bezpečnosti a ochrany zdraví při práci, tj. jak si vede při obsluze strojů a jak se pohybuje v provozu textilní výroby. Vzhledem k charakteru výroby (zušlechťování textilií) a k provozním podmínkám, ve kterých bude probíhat zkoušení, jsou dále nastíněny konkrétní postupy zkoušení pro každou odbornou způsobilost.</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Posuzování kvality a klasifikace upravených textilií včetně předepsané adjustace: Předpokládá se, že operace uvedené pod kritérii a) až l) bude uchazeč provádět buď pod dohledem provozního pracovníka, nebo tyto operace bude provádět na vzorcích a ve formulářích připravených pro vykonání zkoušky.</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Obsluha strojů pro zušlechťování plošných textilií: Předpokládá se, že operace uvedené pod kritérii a), b), c), d), e), f), h), i), j) bude uchazeč provádět pod dohledem provozního pracovníka, při plnění kritéria g) bude uchazeč zaznamenávat údaje do formulářů připravených pro vykonání zkoušky.</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výrobku.</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v rozsahu hodnoticího standardu) a umožní uchazeči se s ním seznámit v předstihu před zkouškou.</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probíhá formou písemného testu. Testy vytváří autorizovaná osoba na základě pravidel stanovených v hodnoticím standardu. Test může být uchazečům zadán v elektronické podobě.</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pStyle w:val="P21"/>
        <w:framePr w:w="7654" w:h="331" w:hRule="exact" w:wrap="none" w:vAnchor="page" w:hAnchor="margin" w:x="28" w:y="15940"/>
        <w:rPr>
          <w:rStyle w:val="C16"/>
          <w:rtl w:val="0"/>
        </w:rPr>
      </w:pPr>
      <w:r>
        <w:rPr>
          <w:rStyle w:val="C16"/>
          <w:rtl w:val="0"/>
        </w:rPr>
        <w:t>Úpravář textilií, 18.10.2026 18:24:41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textilní, oděvní a kožedělný průmysl,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NOVÁ MOSILANA, a. s., Brno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HYBLER TEXTIL, s. r. o., Semily</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MILETA, a. s., Hořice</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Úpravář textilií, 18.10.2026 18:24:41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