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CC8F9C" Type="http://schemas.openxmlformats.org/officeDocument/2006/relationships/officeDocument" Target="/word/document.xml" /><Relationship Id="coreR11CC8F9C" Type="http://schemas.openxmlformats.org/package/2006/relationships/metadata/core-properties" Target="/docProps/core.xml" /><Relationship Id="customR11CC8F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smyčců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30.9.2026 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zhotovený smyčec. Při ověřování kritérií hodnocení je kladen důraz na volbu vhodné technologie a materiálu s přihlédnutím na detailní zpracování jednotlivých částí smyčce,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kritérií hodnocení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Výstupem bude hodnocení hotového předloženého smyčce a související dílčí operace vyplývající ze zadání. Při hodnocení hotového smyčce bude provedena kontrola kvality zpracování materiálů; předmětem hodnocení je i estetická stránka a manuální zručnost uchazeče a dodržování předpisů BOZP a PO.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30.9.2026 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30.9.2026 3:56:26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