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6CC21" Type="http://schemas.openxmlformats.org/officeDocument/2006/relationships/officeDocument" Target="/word/document.xml" /><Relationship Id="coreR3AF6CC21" Type="http://schemas.openxmlformats.org/package/2006/relationships/metadata/core-properties" Target="/docProps/core.xml" /><Relationship Id="customR3AF6CC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požadavků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Konstrukce vzorů méně náročných galanterních výrobků a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rozvádění šablon pro výrobu obuvnických a galanterních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designu pro nové, méně náročné modely a vzory galanterních výrobků a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typizovaných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méně náročných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18.10.2026 18:29:58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http://katalog.nsp.cz/karta_tp.aspx?id_jp=6285).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kožedělné výroby.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úkonů. Bude sledována celková kvalita vypracování a provedení.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jeden z jednodušších galanterních výrobků (etue, pouzdro, kosmetická taška, obal na tablet, obal na notebook, opasek, klíčenka, peněženka), nebo 1 z jednodušších druhů obuvi (pantofle, nazouváky, baleríny, domácí obuv).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méně náročných galanterních výrobků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počet předloženého materiálu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méně náročných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18.10.2026 18:29:58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18.10.2026 18:29:58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