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70CE9" Type="http://schemas.openxmlformats.org/officeDocument/2006/relationships/officeDocument" Target="/word/document.xml" /><Relationship Id="coreR6DA70CE9" Type="http://schemas.openxmlformats.org/package/2006/relationships/metadata/core-properties" Target="/docProps/core.xml" /><Relationship Id="customR6DA70C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2:36:14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https://nsp.cz/jednotka-prace/chovatel-vcel#zdravotni-zpusobilost). Z potvrzení musí být zřejmé, že uchazeč není alergický na včelí jed.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"Údržba včelařských zařízení a dalšího vybavení" v kritériu a) se jedná o drobné truhlářské opravy zejména u úlů, rojáčků, plemenáčů (dřevo pracuje vlivem počasí), dále o provádění dezinfekce a povrchové úpravy úlů a dalších včelařských pomůcek. Autorizovaná osoba vybere vzorek, který prezentuje včelařské zařízení.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bude rozsah vždy odpovídat včelnici nebo stanovišti, na kterém zkouška probíhá; např. sekání trávníků, údržba dřevin, pletí záhonů, zálivka, hnojení, dosadba rostlin atd. Autorizovaná osoba zadá rozsah tak, aby bylo možno kritérium relevantně zhodnotit.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 této profesní kvalifikace bude probíhat v období včelařské sezony, tj. v období aktivity včel, tj. cca květen – srpen podle průběhu počasí.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2:36:14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2:36:14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