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43BFCC" Type="http://schemas.openxmlformats.org/officeDocument/2006/relationships/officeDocument" Target="/word/document.xml" /><Relationship Id="coreR2743BFCC" Type="http://schemas.openxmlformats.org/package/2006/relationships/metadata/core-properties" Target="/docProps/core.xml" /><Relationship Id="customR2743BF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přepravy pro mezinárodní poštovní provoz (kód: 37-027-M)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technologických postupech České pošty, s. 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SW evidence poštovních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vzorkování listovních zásilek došlých ze zemí EU a jejich zpracování ve stanovených limitech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poštovních zásilek, závěrů a uzávěrů (včetně avizování zásilek a zpracování provozních dokladů) v mezinárodním poštovním styku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zásilek určených k celnímu projednání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podkladů pro vyúčtování v mezinárodním poštovním styku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15.08.2013 do: 28.06.2019</w:t>
      </w:r>
    </w:p>
    <w:p>
      <w:pPr>
        <w:pStyle w:val="P21"/>
        <w:framePr w:w="7654" w:h="331" w:hRule="exact" w:wrap="none" w:vAnchor="page" w:hAnchor="margin" w:x="28" w:y="15940"/>
        <w:rPr>
          <w:rStyle w:val="C16"/>
          <w:rtl w:val="0"/>
        </w:rPr>
      </w:pPr>
      <w:r>
        <w:rPr>
          <w:rStyle w:val="C16"/>
          <w:rtl w:val="0"/>
        </w:rPr>
        <w:t>Pracovník poštovní přepravy pro mezinárodní poštovní provoz, 7.5.2026 19:04:24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technologických postupech České pošty, s. 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provozní technologické postupy pro zpracování zásilek vyměňovací poštou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příslušných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poštovních podmínkách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Zajišťování SW evidence poštovních zásilek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evidenci zapsaných zásilek pomocí ručního snímače čárového kódu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příslušné provozní doklady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Vyhotovit příslušné přepravní doklady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Měření a vzorkování listovních zásilek došlých ze zemí EU a jejich zpracování ve stanovených limitech kvality</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Popsat základní technologické postupy měření a vzorkování zásilek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Předvést způsob měření a vzorkování zásilek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c) Uvést postupy pro zpracování zásilek ve stanovených limitech kvality</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60"/>
        <w:rPr>
          <w:rStyle w:val="C18"/>
          <w:rtl w:val="0"/>
        </w:rPr>
      </w:pPr>
      <w:r>
        <w:rPr>
          <w:rStyle w:val="C18"/>
          <w:rtl w:val="0"/>
        </w:rPr>
        <w:t>Zpracování poštovních zásilek, závěrů a uzávěrů (včetně avizování zásilek a zpracování provozních dokladů) v mezinárodním poštovním styku</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Vyjmenovat druhy zásilek, uzávěrů a závěrů</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Vytvořit a vypravit závěr určený k přepravě do zahraničí</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a ústní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c) Popsat způsob přepravy závěru do místa určení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d) Převzít a provést vykartování závěru došlého ze zahraničí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a ústní ověření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e) Popsat způsob řešení nepravidelností u závěru došlého ze zahraničí</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Ústní ověření</w:t>
      </w:r>
    </w:p>
    <w:p>
      <w:pPr>
        <w:pStyle w:val="P16"/>
        <w:framePr w:w="6710" w:h="607" w:hRule="exact" w:wrap="none" w:vAnchor="page" w:hAnchor="margin" w:x="45" w:y="13764"/>
        <w:rPr>
          <w:rStyle w:val="C3"/>
          <w:rtl w:val="0"/>
        </w:rPr>
      </w:pPr>
    </w:p>
    <w:p>
      <w:pPr>
        <w:pStyle w:val="P17"/>
        <w:framePr w:w="6658" w:h="480" w:hRule="exact" w:wrap="none" w:vAnchor="page" w:hAnchor="margin" w:x="71" w:y="13820"/>
        <w:rPr>
          <w:rStyle w:val="C13"/>
          <w:rtl w:val="0"/>
        </w:rPr>
      </w:pPr>
      <w:r>
        <w:rPr>
          <w:rStyle w:val="C13"/>
          <w:rtl w:val="0"/>
        </w:rPr>
        <w:t>f) Popsat předání uzávěru nebo zásilky poštovnímu kurzu včetně zásad BOZP</w:t>
      </w:r>
    </w:p>
    <w:p>
      <w:pPr>
        <w:pStyle w:val="P30"/>
        <w:framePr w:w="3921" w:h="607" w:hRule="exact" w:wrap="none" w:vAnchor="page" w:hAnchor="margin" w:x="6800" w:y="13764"/>
        <w:rPr>
          <w:rStyle w:val="C3"/>
          <w:rtl w:val="0"/>
        </w:rPr>
      </w:pPr>
    </w:p>
    <w:p>
      <w:pPr>
        <w:pStyle w:val="P31"/>
        <w:framePr w:w="3839" w:h="480" w:hRule="exact" w:wrap="none" w:vAnchor="page" w:hAnchor="margin" w:x="6856" w:y="13820"/>
        <w:rPr>
          <w:rStyle w:val="C22"/>
          <w:rtl w:val="0"/>
        </w:rPr>
      </w:pPr>
      <w:r>
        <w:rPr>
          <w:rStyle w:val="C22"/>
          <w:rtl w:val="0"/>
        </w:rPr>
        <w:t>Ústní ověření</w:t>
      </w:r>
    </w:p>
    <w:p>
      <w:pPr>
        <w:pStyle w:val="P32"/>
        <w:framePr w:w="10710" w:h="248" w:hRule="exact" w:wrap="none" w:vAnchor="page" w:hAnchor="margin" w:x="28" w:y="14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pro mezinárodní poštovní provoz, 7.5.2026 19:04:24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zásilek určených k celnímu projednání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 specifikovat země, ze kterých se zásilky předkládají k celnímu projednání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zásilky, které se předkládají a které se nepředkládají k celnímu projednání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výjimky předkládání zásilek k celnímu projednání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Zpracování podkladů pro vyúčtování v mezinárodním poštovním styku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podstatu provádění odpočtu v mezinárodním poštovním styku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Vyjmenovat příslušné provozní doklady a údaje, které je nutné uvádět za účelem provedení následného odpočtu se zahraničními poštovními operátory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Vyjmenovat příslušné přepravní doklady a údaje, které je nutné uvádět k vyúčtování nákladů s příslušnými přepravci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pro mezinárodní poštovní provoz, 7.5.2026 19:04:24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poštovních zásilek.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přepravy pro mezinárodní poštovní provoz, 7.5.2026 19:04:24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Minimálně střední vzdělání s maturitní zkouškou a 5 let odborné praxe v řídicí pozici v provozu mezinárodní poštovní přepravy,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Učitel odborných předmětů nebo odborného výcviku (učitelé v oboru poštovnictví a logistiky) a alespoň 5 let odborné praxe v oblasti poštovnictví,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479" w:hRule="exact" w:wrap="none" w:vAnchor="page" w:hAnchor="margin" w:x="0" w:y="9317"/>
        <w:rPr>
          <w:rStyle w:val="C3"/>
          <w:rtl w:val="0"/>
        </w:rPr>
      </w:pPr>
    </w:p>
    <w:p>
      <w:pPr>
        <w:pStyle w:val="P35"/>
        <w:framePr w:w="10710" w:h="340" w:hRule="exact" w:wrap="none" w:vAnchor="page" w:hAnchor="margin" w:x="28" w:y="9317"/>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předepsané k používání Českou poštou, s. p. v přepravě</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mezinárodní poštovní přepravy (PC se specializovaným SW, snímač, policová třídnice, poštovní pytle, vlaječky a pytlovák)</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České pošty, s. p.</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 (fiktivní zásilky)</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23"/>
        <w:rPr>
          <w:rStyle w:val="C3"/>
          <w:rtl w:val="0"/>
        </w:rPr>
      </w:pPr>
    </w:p>
    <w:p>
      <w:pPr>
        <w:pStyle w:val="P35"/>
        <w:framePr w:w="10710" w:h="340" w:hRule="exact" w:wrap="none" w:vAnchor="page" w:hAnchor="margin" w:x="28" w:y="13023"/>
        <w:rPr>
          <w:rStyle w:val="C25"/>
          <w:rtl w:val="0"/>
        </w:rPr>
      </w:pPr>
      <w:r>
        <w:rPr>
          <w:rStyle w:val="C25"/>
          <w:rtl w:val="0"/>
        </w:rPr>
        <w:t>Doba přípravy na zkoušku</w:t>
      </w:r>
    </w:p>
    <w:p>
      <w:pPr>
        <w:keepNext w:val="0"/>
        <w:keepLines w:val="0"/>
        <w:framePr w:w="10766" w:h="1036" w:hRule="exact" w:wrap="none" w:vAnchor="page" w:hAnchor="margin" w:x="0" w:y="13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4626"/>
        <w:rPr>
          <w:rStyle w:val="C3"/>
          <w:rtl w:val="0"/>
        </w:rPr>
      </w:pPr>
    </w:p>
    <w:p>
      <w:pPr>
        <w:pStyle w:val="P35"/>
        <w:framePr w:w="10710" w:h="340" w:hRule="exact" w:wrap="none" w:vAnchor="page" w:hAnchor="margin" w:x="28" w:y="14626"/>
        <w:rPr>
          <w:rStyle w:val="C25"/>
          <w:rtl w:val="0"/>
        </w:rPr>
      </w:pPr>
      <w:r>
        <w:rPr>
          <w:rStyle w:val="C25"/>
          <w:rtl w:val="0"/>
        </w:rPr>
        <w:t>Doba pro vykonání zkoušky</w:t>
      </w:r>
    </w:p>
    <w:p>
      <w:pPr>
        <w:keepNext w:val="0"/>
        <w:keepLines w:val="0"/>
        <w:framePr w:w="10766" w:h="806" w:hRule="exact" w:wrap="none" w:vAnchor="page" w:hAnchor="margin" w:x="0" w:y="14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 poštovní přepravy pro mezinárodní poštovní provoz, 7.5.2026 19:04:24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 přepravy pro mezinárodní poštovní provoz, 7.5.2026 19:04:24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