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DF46E4" Type="http://schemas.openxmlformats.org/officeDocument/2006/relationships/officeDocument" Target="/word/document.xml" /><Relationship Id="coreR5DDF46E4" Type="http://schemas.openxmlformats.org/package/2006/relationships/metadata/core-properties" Target="/docProps/core.xml" /><Relationship Id="customR5DDF46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4:43:08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"https://www.nsp.cz/jednotka-prace/zpracovatel-vcelich-produ"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https://www.nsp.cz/jednotka-prace/zpracovatel-vcelich-produ#zdravotni-zpusobilost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potvrzení musí být zřejmé, že uchazeč není alergický na včelí jed.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potřeba, aby se zkoušející zaměřil v ústní části zkoušky na všechny včelí produkty, v praktické části pak na hlavní produkty, tj. na med, vosk, pyl, propolis a mateří kašičku.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Je třeba hodnotit manuální zručnost uchazeče.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"Použití včelích produktů pro další výrobu", v kritériu b) uchazeč popíše postup a zároveň prakticky předvede některé fáze zpracování dle výběru autorizované osoby, např. výroba těsta, příprava polevy, zdobení perníků. V kritériu c) uchazeč popíše postup a vyrobí svíčky různými způsoby, např. stáčením, litím.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zpracovávané produkty je vhodné zkoušku z této profesní kvalifikace realizovat v období včelařské sezony, tj. cca květen – srpen.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4:43:08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- Včelařské vzdělávací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30.9.2026 4:43:08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