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5C519" Type="http://schemas.openxmlformats.org/officeDocument/2006/relationships/officeDocument" Target="/word/document.xml" /><Relationship Id="coreRC95C519" Type="http://schemas.openxmlformats.org/package/2006/relationships/metadata/core-properties" Target="/docProps/core.xml" /><Relationship Id="customRC95C5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7.5.2026 19:01:28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https://www.nsp.cz/jednotka-prace/strihac-psu#zdravotni-zpusobilost).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podle standardu Mezinárodní kynologické organice FCI.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kompletní střihové úpravy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správně rozezná 20 plemen psů z 30 obrázků nebo živých modelů různých plemen psů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splní toto kritérium během kompletní střihové úpravy psů.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splní toto kritérium během kompletní střihové úpravy psů.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příklady modelových situací: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obtíže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zjištěná nemoc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nevhodná výživa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neodpovídající kosmetika a pomůcky pro údržbu srsti psa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Kožní parazité se určují podle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7.5.2026 19:01:28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Ekrová Jana Ing.,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Petra,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Pavlasová Martina, Ing. Jana Ekrová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Havrda, Ing.,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7.5.2026 19:01:28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BD4F0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60855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B33996B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D82B9F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93AF6D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CFF1E25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