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9A5B9" Type="http://schemas.openxmlformats.org/officeDocument/2006/relationships/officeDocument" Target="/word/document.xml" /><Relationship Id="coreR6FA9A5B9" Type="http://schemas.openxmlformats.org/package/2006/relationships/metadata/core-properties" Target="/docProps/core.xml" /><Relationship Id="customR6FA9A5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kompletní střihové úpravy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poradenské činnosti majitelům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Rozpoznání zdravotních problémů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psů, 30.9.2026 5:46:27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tohoto standardu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střihovou úpravou psa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rozumíme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stříhání drápků, depilace ušních chloupků a čištění uší, trimování, příp. vyčesání srsti (v případě středněsrstých plemen), rozčesávání zplstnatělé srsti, koupání, fénování, střihová úprava dle standardu Mezinárodní kynologické organice FCI.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možnost při zkoušce upravit psy čtyř plemen, která si sám vybere, tj. libovolného zástupce plemena krátkosrstého, libovolného zástupce plemena středněsrstého hrubostrstého, libovolného zástupce plemena středněsrstého jemnostrstého a libovolného zástupce plemena dlouhosrstého. Modely zajistí uchazeč nebo autorizovaná osoba po vzájemné dohodě.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odpovídající pracovní oděv a obuv.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 při hodnocení uchazeče zaměří také na hodnocení schopnosti komunikace a přístupu ke psům a celkovou manipulaci se psem. Při ověřování praktických dovedností sleduje a hodnotí i bezpečnost práce uchazeče při provádění jednotlivých úkonů a také dbá na to, aby byla zajištěna pohoda psů (welfare).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–Uchazeč splní toto kritérium během kompletní úpravy psů.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–Uchazeč splní toto kritérium během kompletní úpravy psů.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–Příklady modelových situací: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•zdravotní obtíže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•zjištěná nemoc psa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•nevhodná výživa psa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•neodpovídající kosmetika a pomůcky pro údržbu srsti psa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–Střihač psů by měl rozeznat: zánět v uších, přítomnost vnějších parazitů, změny na kůži a srsti, problémy očí, problémy pohybového aparátu. Pokud AOs nemá k dispozici živé modely problematických psů, je vhodné použít obrázků a videonahrávek.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kompetence c)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-Kožní parazité se určují dle fotografické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psů, 30.9.2026 5:46:27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střihačů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Salon pro psy Gwendy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Salon Marcato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Salon Blanda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psů, 30.9.2026 5:46:27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3ADD6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