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8D75AB" Type="http://schemas.openxmlformats.org/officeDocument/2006/relationships/officeDocument" Target="/word/document.xml" /><Relationship Id="coreRD8D75AB" Type="http://schemas.openxmlformats.org/package/2006/relationships/metadata/core-properties" Target="/docProps/core.xml" /><Relationship Id="customRD8D75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velkokotoučových pil v kamenické výrobě (kód: 36-099-H)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předpisů bezpečnosti práce a ochrany zdraví a hygieny práce při obsluze strojů a strojních zařízení v kamenické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opracování kamene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strojů a strojních zařízení v kamenické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a mechanizovaná manipulace se surovinou, polotovary a výrobky v kamenické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29.06.2015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20.10.2026 8:52:03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NSP)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na určitém úseku kamenické výroby. U kompetenece Volba postupu práce a technologických podmínek při opracování kamene u kritéria a) připraví autorizovaná osoba modelovou situaci. 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by měl být kladen důraz na: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•bezpečné provádění všech pracovních úkonů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výrobě a zpracování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20.10.2026 8:52:03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- Vyšší odborná škola, Gymnázium a Střední odborná škola uměleckoprůmyslová Světlá nad Sázavou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20.10.2026 8:52:03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B86088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