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1CDC2" Type="http://schemas.openxmlformats.org/officeDocument/2006/relationships/officeDocument" Target="/word/document.xml" /><Relationship Id="coreR6111CDC2" Type="http://schemas.openxmlformats.org/package/2006/relationships/metadata/core-properties" Target="/docProps/core.xml" /><Relationship Id="customR6111C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brousicích, lešticích, řezacích, tryskacích, opalovacích automatů a linek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Připravit k výkonu zařízení podle zadání, tzn. prokázat orientaci při práci s programem NC stroje a podle zadání naprogramovat kompletní pracovní postup</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Zkontrolovat polotovar nebo hotový výrobek z hlediska kvality provedení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Ošetřit zařízení po skončení výkonu</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kritréria.</w:t>
      </w:r>
    </w:p>
    <w:p>
      <w:pPr>
        <w:pStyle w:val="P23"/>
        <w:framePr w:w="10710" w:h="340" w:hRule="exact" w:wrap="none" w:vAnchor="page" w:hAnchor="margin" w:x="28" w:y="7130"/>
        <w:rPr>
          <w:rStyle w:val="C18"/>
          <w:rtl w:val="0"/>
        </w:rPr>
      </w:pPr>
      <w:r>
        <w:rPr>
          <w:rStyle w:val="C18"/>
          <w:rtl w:val="0"/>
        </w:rPr>
        <w:t>Dodržování zásad BOZP při práci s kamenem</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Popsat hlavní zásady bezpečné práce při opracování kamene, manipulace a uskladnění kamene</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Ústní ověření</w:t>
      </w:r>
    </w:p>
    <w:p>
      <w:pPr>
        <w:pStyle w:val="P16"/>
        <w:framePr w:w="6710" w:h="607" w:hRule="exact" w:wrap="none" w:vAnchor="page" w:hAnchor="margin" w:x="45" w:y="9990"/>
        <w:rPr>
          <w:rStyle w:val="C3"/>
          <w:rtl w:val="0"/>
        </w:rPr>
      </w:pPr>
    </w:p>
    <w:p>
      <w:pPr>
        <w:pStyle w:val="P17"/>
        <w:framePr w:w="6658" w:h="480" w:hRule="exact" w:wrap="none" w:vAnchor="page" w:hAnchor="margin" w:x="71" w:y="1004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990"/>
        <w:rPr>
          <w:rStyle w:val="C3"/>
          <w:rtl w:val="0"/>
        </w:rPr>
      </w:pPr>
    </w:p>
    <w:p>
      <w:pPr>
        <w:pStyle w:val="P31"/>
        <w:framePr w:w="3839" w:h="480" w:hRule="exact" w:wrap="none" w:vAnchor="page" w:hAnchor="margin" w:x="6856" w:y="10046"/>
        <w:rPr>
          <w:rStyle w:val="C22"/>
          <w:rtl w:val="0"/>
        </w:rPr>
      </w:pPr>
      <w:r>
        <w:rPr>
          <w:rStyle w:val="C22"/>
          <w:rtl w:val="0"/>
        </w:rPr>
        <w:t>Praktické předvedení a ústní ověření</w:t>
      </w:r>
    </w:p>
    <w:p>
      <w:pPr>
        <w:pStyle w:val="P32"/>
        <w:framePr w:w="10710" w:h="248" w:hRule="exact" w:wrap="none" w:vAnchor="page" w:hAnchor="margin" w:x="28" w:y="10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893" w:h="230" w:hRule="exact" w:wrap="none" w:vAnchor="page" w:hAnchor="margin" w:x="2294" w:y="12483"/>
        <w:rPr>
          <w:rStyle w:val="C26"/>
          <w:rtl w:val="0"/>
        </w:rPr>
      </w:pPr>
      <w:r>
        <w:rPr>
          <w:rStyle w:val="C26"/>
          <w:rtl w:val="0"/>
        </w:rPr>
        <w:t>kamene,u</w:t>
      </w:r>
    </w:p>
    <w:p>
      <w:pPr>
        <w:pStyle w:val="P37"/>
        <w:framePr w:w="615" w:h="230" w:hRule="exact" w:wrap="none" w:vAnchor="page" w:hAnchor="margin" w:x="3230" w:y="12483"/>
        <w:rPr>
          <w:rStyle w:val="C26"/>
          <w:rtl w:val="0"/>
        </w:rPr>
      </w:pPr>
      <w:r>
        <w:rPr>
          <w:rStyle w:val="C26"/>
          <w:rtl w:val="0"/>
        </w:rPr>
        <w:t>kritéria</w:t>
      </w:r>
    </w:p>
    <w:p>
      <w:pPr>
        <w:pStyle w:val="P37"/>
        <w:framePr w:w="193" w:h="230" w:hRule="exact" w:wrap="none" w:vAnchor="page" w:hAnchor="margin" w:x="3888" w:y="12483"/>
        <w:rPr>
          <w:rStyle w:val="C26"/>
          <w:rtl w:val="0"/>
        </w:rPr>
      </w:pPr>
      <w:r>
        <w:rPr>
          <w:rStyle w:val="C26"/>
          <w:rtl w:val="0"/>
        </w:rPr>
        <w:t>a)</w:t>
      </w:r>
    </w:p>
    <w:p>
      <w:pPr>
        <w:pStyle w:val="P37"/>
        <w:framePr w:w="682" w:h="230" w:hRule="exact" w:wrap="none" w:vAnchor="page" w:hAnchor="margin" w:x="4123" w:y="12483"/>
        <w:rPr>
          <w:rStyle w:val="C26"/>
          <w:rtl w:val="0"/>
        </w:rPr>
      </w:pPr>
      <w:r>
        <w:rPr>
          <w:rStyle w:val="C26"/>
          <w:rtl w:val="0"/>
        </w:rPr>
        <w:t>připraví</w:t>
      </w:r>
    </w:p>
    <w:p>
      <w:pPr>
        <w:pStyle w:val="P37"/>
        <w:framePr w:w="1157" w:h="230" w:hRule="exact" w:wrap="none" w:vAnchor="page" w:hAnchor="margin" w:x="4848" w:y="12483"/>
        <w:rPr>
          <w:rStyle w:val="C26"/>
          <w:rtl w:val="0"/>
        </w:rPr>
      </w:pPr>
      <w:r>
        <w:rPr>
          <w:rStyle w:val="C26"/>
          <w:rtl w:val="0"/>
        </w:rPr>
        <w:t>autorizovaná</w:t>
      </w:r>
    </w:p>
    <w:p>
      <w:pPr>
        <w:pStyle w:val="P37"/>
        <w:framePr w:w="562" w:h="230" w:hRule="exact" w:wrap="none" w:vAnchor="page" w:hAnchor="margin" w:x="6048" w:y="12483"/>
        <w:rPr>
          <w:rStyle w:val="C26"/>
          <w:rtl w:val="0"/>
        </w:rPr>
      </w:pPr>
      <w:r>
        <w:rPr>
          <w:rStyle w:val="C26"/>
          <w:rtl w:val="0"/>
        </w:rPr>
        <w:t>osoba</w:t>
      </w:r>
    </w:p>
    <w:p>
      <w:pPr>
        <w:pStyle w:val="P37"/>
        <w:framePr w:w="505" w:h="230" w:hRule="exact" w:wrap="none" w:vAnchor="page" w:hAnchor="margin" w:x="6652" w:y="12483"/>
        <w:rPr>
          <w:rStyle w:val="C26"/>
          <w:rtl w:val="0"/>
        </w:rPr>
      </w:pPr>
      <w:r>
        <w:rPr>
          <w:rStyle w:val="C26"/>
          <w:rtl w:val="0"/>
        </w:rPr>
        <w:t>jednu</w:t>
      </w:r>
    </w:p>
    <w:p>
      <w:pPr>
        <w:pStyle w:val="P37"/>
        <w:framePr w:w="994" w:h="230" w:hRule="exact" w:wrap="none" w:vAnchor="page" w:hAnchor="margin" w:x="7200" w:y="12483"/>
        <w:rPr>
          <w:rStyle w:val="C26"/>
          <w:rtl w:val="0"/>
        </w:rPr>
      </w:pPr>
      <w:r>
        <w:rPr>
          <w:rStyle w:val="C26"/>
          <w:rtl w:val="0"/>
        </w:rPr>
        <w:t>modelovou</w:t>
      </w:r>
    </w:p>
    <w:p>
      <w:pPr>
        <w:pStyle w:val="P37"/>
        <w:framePr w:w="639" w:h="230" w:hRule="exact" w:wrap="none" w:vAnchor="page" w:hAnchor="margin" w:x="8236"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3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 zajistí autorizovaná osoba.</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přípravy na zkoušku</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pro vykonání zkoušky</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automatů a linek na úpravu povrchů v kamenické výrobě, 9.9.2026 19:11:38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391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DC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AE05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