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EEA30" Type="http://schemas.openxmlformats.org/officeDocument/2006/relationships/officeDocument" Target="/word/document.xml" /><Relationship Id="coreR653EEA30" Type="http://schemas.openxmlformats.org/package/2006/relationships/metadata/core-properties" Target="/docProps/core.xml" /><Relationship Id="customR653EEA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hroznů a úprava moštů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Kvašení a ošetřování mladých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způsobech přípravy vín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při školení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zrání a výběr vhodné filtrace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Senzorická analýza vad a chorob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Zhodnocení a prezentace vína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vinařské evidence a přihlášení hroznů a vína ke kontrole jakosti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Vysvětlení principů produkce biovína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vinařství a v pracovním právu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Zhodnocení ekonomiky vinohradnicko-vinařského podniku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http://katalog.nsp.cz/karta_p.aspx?id_jp=30694&amp;kod_sm1=26).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stavu zpracování vína. Je vhodné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nejméně středoškolské vzdělání zakončené maturitní zkouškou, rok praxe ve vinařství a řidičský průkaz skupiny B. Dále musí mít zdravotní průkaz pro práci v potravinářství.Musí předložit posudek z předešlého odborného zaměstnání nebo potvrzení o absolvované praxi.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obhajoba projektu technologického vybavení zpracovatelského provozu, který se zpracovává před zkouškou: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vypracování projektu technologického vybavení nejméně 30 dnů před konáním zkoušky. Zpracovaný projekt přinese s sebou ke zkoušce, kde jej bude ústně obhajovat.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obsahuje plochu vlastních vinic podniku osázených bílými a modrými odrůdami, způsob jejich sklizně (ručně, mechanizovaně), plánovaný nákup dalších hroznů, plánované množství produkce růžového vína, podíl lahvového vína na celkové produkci vína.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projektu uvede návrh jednotlivých částí zpracovatelské linky (obecně, nikoliv konkrétní firemní výrobky), jejich výkonnost a orientační cenu. Rovněž orientační náklady na roční provoz včetně použitých spotřebních materiálů, energií a mzdových nákladů. Dále uvede předpokládané roční příjmy z prodeje vína a cenu vstupujících hroznů.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Přibližný čas strávený při řešení projektu se předpokládá ve výši 8 - 10 hodin.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 v kritériu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 bude provedeno procentické stanovení plísní Botrytis cinerea, cukernatosti, pH a stanovení obsahu kyseli vinné a jablečné.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činnosti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