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08DAC7" Type="http://schemas.openxmlformats.org/officeDocument/2006/relationships/officeDocument" Target="/word/document.xml" /><Relationship Id="coreRA08DAC7" Type="http://schemas.openxmlformats.org/package/2006/relationships/metadata/core-properties" Target="/docProps/core.xml" /><Relationship Id="customRA08DA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těžebního střediska ropy a zemního plynu (kód: 21-027-M)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báňské legislativě související s činností vedoucího těžebního střediska těžby ropy a zemního 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procesů při těžbě a úpravě ropy a zemního plynu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procesů při těžbě a úpravě ropy a zemního plynu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oprava technologického zařízení pro těžbu ropy a zemního plynu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těžebního střediska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personální agendy těžebního střediska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29.09.2017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střediska ropy a zemního plynu, 9.9.2026 21:25:32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není vyžadována.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střediska ropy a zemního plynu, 9.9.2026 21:25:32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střediska ropy a zemního plynu, 9.9.2026 21:25:32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