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B1C522" Type="http://schemas.openxmlformats.org/officeDocument/2006/relationships/officeDocument" Target="/word/document.xml" /><Relationship Id="coreR9B1C522" Type="http://schemas.openxmlformats.org/package/2006/relationships/metadata/core-properties" Target="/docProps/core.xml" /><Relationship Id="customR9B1C5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těžebního střediska ropy a zemního plynu (kód: 21-027-M)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těžebního střediska ropy a zemního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těžebním středisku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výkresové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báňské legislativě související s činností vedoucího těžebního střediska těžby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procesů při těžbě a úpravě ropy a zemního plynu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při těžbě a úpravě ropy a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těžebního střediska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personální agendy těžebního střediska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oprava technologického zařízení pro těžbu ropy a zemního plynu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29.10.2013 do: 29.11.2017</w:t>
      </w:r>
    </w:p>
    <w:p>
      <w:pPr>
        <w:pStyle w:val="P21"/>
        <w:framePr w:w="7654" w:h="331" w:hRule="exact" w:wrap="none" w:vAnchor="page" w:hAnchor="margin" w:x="28" w:y="15940"/>
        <w:rPr>
          <w:rStyle w:val="C16"/>
          <w:rtl w:val="0"/>
        </w:rPr>
      </w:pPr>
      <w:r>
        <w:rPr>
          <w:rStyle w:val="C16"/>
          <w:rtl w:val="0"/>
        </w:rPr>
        <w:t>Vedoucí těžebního střediska ropy a zemního plynu, 20.8.2026 23:51:11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těžebním středisku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při těžbě ropy a zemního plynu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slovní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způsob řešení modelové situace při zdolávání nasimulované havárie na těžebním středisku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ochranné pracovní pomůcky potřebné při obsluze na těžebním středisku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slovní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Vypracovat písemný příkaz na provádění prací s otevřeným ohněm na těžebním středisku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Vysvětlit ustanovení zákona č. 262/2006 Sb. (zákoníku práce) a souvisejících právních předpisů vztahujících se k bezpečnosti a ochraně zdraví při práci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Písemné a slovní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technické a výkresové dokumentaci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technickou a výkresovou dokumentaci těžebního střediska (ukázka trasy toku těženého media doplněná popisem bezpečnostních prvků)</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se slovním vysvětlením</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Popsat a předvést používání technické a výkresové dokumentace těžebního střediska</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se slovním ověřením</w:t>
      </w:r>
    </w:p>
    <w:p>
      <w:pPr>
        <w:pStyle w:val="P32"/>
        <w:framePr w:w="10710" w:h="248" w:hRule="exact" w:wrap="none" w:vAnchor="page" w:hAnchor="margin" w:x="28" w:y="9247"/>
        <w:rPr>
          <w:rStyle w:val="C23"/>
          <w:rtl w:val="0"/>
        </w:rPr>
      </w:pPr>
      <w:r>
        <w:rPr>
          <w:rStyle w:val="C23"/>
          <w:rtl w:val="0"/>
        </w:rPr>
        <w:t>Je třeba splnit obě kritéria.</w:t>
      </w:r>
    </w:p>
    <w:p>
      <w:pPr>
        <w:pStyle w:val="P23"/>
        <w:framePr w:w="10710" w:h="547" w:hRule="exact" w:wrap="none" w:vAnchor="page" w:hAnchor="margin" w:x="28" w:y="9682"/>
        <w:rPr>
          <w:rStyle w:val="C18"/>
          <w:rtl w:val="0"/>
        </w:rPr>
      </w:pPr>
      <w:r>
        <w:rPr>
          <w:rStyle w:val="C18"/>
          <w:rtl w:val="0"/>
        </w:rPr>
        <w:t>Orientace v báňské legislativě související s činností vedoucího těžebního střediska těžby ropy a zemního plynu</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Prokázat znalost vyhlášky ČBÚ č. 239/1998 Sb.</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Písemné a ústní ověření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Prokázat znalost vyhlášky ČBÚ č. 71/2002 Sb.</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Písemné a ústní ověření</w:t>
      </w:r>
    </w:p>
    <w:p>
      <w:pPr>
        <w:pStyle w:val="P12"/>
        <w:framePr w:w="6710" w:h="376" w:hRule="exact" w:wrap="none" w:vAnchor="page" w:hAnchor="margin" w:x="45" w:y="11458"/>
        <w:rPr>
          <w:rStyle w:val="C3"/>
          <w:rtl w:val="0"/>
        </w:rPr>
      </w:pPr>
    </w:p>
    <w:p>
      <w:pPr>
        <w:pStyle w:val="P13"/>
        <w:framePr w:w="6658" w:h="249" w:hRule="exact" w:wrap="none" w:vAnchor="page" w:hAnchor="margin" w:x="71" w:y="11514"/>
        <w:rPr>
          <w:rStyle w:val="C11"/>
          <w:rtl w:val="0"/>
        </w:rPr>
      </w:pPr>
      <w:r>
        <w:rPr>
          <w:rStyle w:val="C11"/>
          <w:rtl w:val="0"/>
        </w:rPr>
        <w:t>c) Prokázat znalost vyhlášky ČBÚ č. 392/2003 Sb.</w:t>
      </w:r>
    </w:p>
    <w:p>
      <w:pPr>
        <w:pStyle w:val="P28"/>
        <w:framePr w:w="3921" w:h="376" w:hRule="exact" w:wrap="none" w:vAnchor="page" w:hAnchor="margin" w:x="6800" w:y="11458"/>
        <w:rPr>
          <w:rStyle w:val="C3"/>
          <w:rtl w:val="0"/>
        </w:rPr>
      </w:pPr>
    </w:p>
    <w:p>
      <w:pPr>
        <w:pStyle w:val="P29"/>
        <w:framePr w:w="3839" w:h="249" w:hRule="exact" w:wrap="none" w:vAnchor="page" w:hAnchor="margin" w:x="6856" w:y="11514"/>
        <w:rPr>
          <w:rStyle w:val="C21"/>
          <w:rtl w:val="0"/>
        </w:rPr>
      </w:pPr>
      <w:r>
        <w:rPr>
          <w:rStyle w:val="C21"/>
          <w:rtl w:val="0"/>
        </w:rPr>
        <w:t>Písemné a ústní ověření</w:t>
      </w:r>
    </w:p>
    <w:p>
      <w:pPr>
        <w:pStyle w:val="P16"/>
        <w:framePr w:w="6710" w:h="376" w:hRule="exact" w:wrap="none" w:vAnchor="page" w:hAnchor="margin" w:x="45" w:y="11834"/>
        <w:rPr>
          <w:rStyle w:val="C3"/>
          <w:rtl w:val="0"/>
        </w:rPr>
      </w:pPr>
    </w:p>
    <w:p>
      <w:pPr>
        <w:pStyle w:val="P17"/>
        <w:framePr w:w="6658" w:h="249" w:hRule="exact" w:wrap="none" w:vAnchor="page" w:hAnchor="margin" w:x="71" w:y="11890"/>
        <w:rPr>
          <w:rStyle w:val="C13"/>
          <w:rtl w:val="0"/>
        </w:rPr>
      </w:pPr>
      <w:r>
        <w:rPr>
          <w:rStyle w:val="C13"/>
          <w:rtl w:val="0"/>
        </w:rPr>
        <w:t>d) Prokázat znalost nařízení vlády č. 201/2010 Sb.</w:t>
      </w:r>
    </w:p>
    <w:p>
      <w:pPr>
        <w:pStyle w:val="P30"/>
        <w:framePr w:w="3921" w:h="376" w:hRule="exact" w:wrap="none" w:vAnchor="page" w:hAnchor="margin" w:x="6800" w:y="11834"/>
        <w:rPr>
          <w:rStyle w:val="C3"/>
          <w:rtl w:val="0"/>
        </w:rPr>
      </w:pPr>
    </w:p>
    <w:p>
      <w:pPr>
        <w:pStyle w:val="P31"/>
        <w:framePr w:w="3839" w:h="249" w:hRule="exact" w:wrap="none" w:vAnchor="page" w:hAnchor="margin" w:x="6856" w:y="11890"/>
        <w:rPr>
          <w:rStyle w:val="C22"/>
          <w:rtl w:val="0"/>
        </w:rPr>
      </w:pPr>
      <w:r>
        <w:rPr>
          <w:rStyle w:val="C22"/>
          <w:rtl w:val="0"/>
        </w:rPr>
        <w:t>Písemné a ústní ověření</w:t>
      </w:r>
    </w:p>
    <w:p>
      <w:pPr>
        <w:pStyle w:val="P32"/>
        <w:framePr w:w="10710" w:h="248" w:hRule="exact" w:wrap="none" w:vAnchor="page" w:hAnchor="margin" w:x="28" w:y="12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20.8.2026 23:51:11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procesů při těžbě a úpravě ropy a zemního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odebrání vzorků ropy v průběhu celého těžebního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se slovním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 vyhodnocení vzorků ropy v průběhu celého těžebního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se slovním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 spuštění těžební sondy do provozu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se slovním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odstavení těžební sondy z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se slovním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 mechanické deparafinace samotokové ropné sondy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se slovním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způsob přetěsnění ucpávkové hlavy mechanizované sondy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se slovním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Řízení procesů při těžbě a úpravě ropy a zemního plynu</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Nastavit proces odvodnění a odplynění ropy</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se slovním vysvětlením</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Nastavit proces nízkotepelného sušení zemního plynu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se slovním vysvětlením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proces deparafinace sondy nahřátou kapalinou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se slovním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Vedení provozní dokumentace těžebního střediska</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Popsat provozní dokumentaci při těžbě a úpravě ropy a zemního plynu dle vyhlášky ČBÚ č. 239/1998 Sb.</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Písemné se slovním vysvětlením</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Předvést konkrétní záznam do provozní dokumentace (Záznam o těžebním středisku)</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1104"/>
        <w:rPr>
          <w:rStyle w:val="C23"/>
          <w:rtl w:val="0"/>
        </w:rPr>
      </w:pPr>
      <w:r>
        <w:rPr>
          <w:rStyle w:val="C23"/>
          <w:rtl w:val="0"/>
        </w:rPr>
        <w:t>Je třeba splnit obě kritéria.</w:t>
      </w:r>
    </w:p>
    <w:p>
      <w:pPr>
        <w:pStyle w:val="P23"/>
        <w:framePr w:w="10710" w:h="340" w:hRule="exact" w:wrap="none" w:vAnchor="page" w:hAnchor="margin" w:x="28" w:y="11540"/>
        <w:rPr>
          <w:rStyle w:val="C18"/>
          <w:rtl w:val="0"/>
        </w:rPr>
      </w:pPr>
      <w:r>
        <w:rPr>
          <w:rStyle w:val="C18"/>
          <w:rtl w:val="0"/>
        </w:rPr>
        <w:t>Vedení personální agendy těžebního střediska</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Zpracovat podklady pro výpočet mezd dle předložené docházky zaměstnanců těžebního střediska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Písemné ověření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b) Vytvořit harmonogram povinných školení jednotlivých pracovníků střediska</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 se slovním vysvětlením</w:t>
      </w:r>
    </w:p>
    <w:p>
      <w:pPr>
        <w:pStyle w:val="P32"/>
        <w:framePr w:w="10710" w:h="248" w:hRule="exact" w:wrap="none" w:vAnchor="page" w:hAnchor="margin" w:x="28" w:y="136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těžebního střediska ropy a zemního plynu, 20.8.2026 23:51:11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oprava technologického zařízení pro těžbu ropy a zemního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plán oprav a revizí technických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požadavek na opravu strojního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Vypracovat požadavek na nákup náhradních dílů, provozních náplní pro údržbu a opravy těžebního zařízení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20.8.2026 23:51:11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http://katalog.nsp.cz/karta_p.aspx?id_jp=102450&amp;kod_sm1=27).</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těžebního střediska ropy a zemního plynu, 20.8.2026 23:51:11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Osvědčení o odborné kvalifikaci a způsobilosti báňského projektanta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 o odborné kvalifikaci a způsobilosti revizního technika vyhrazených technických zařízení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Osvědčení o odborné kvalifikaci a způsobilosti bezpečnostního technika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704"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a odpovídající bezpečnostním a hygienickým předpisům</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provozní a výkresová dokumentace těžebního střediska</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Těžební technologie potřebná pro těžbu a úpravu těženého média – ropy, zemního plynu (ústí sondy /produkční kříž, čerpadlové ústí/, kolektor, ohřevný kotlík, trojfázový separátor, deemulzátor, odplyňovač, kompresor, jednotky NTS /nízkotepelné sušení/, měřič plynu)</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těžebního střediska ropy a zemního plynu, 20.8.2026 23:51:11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těžebního střediska ropy a zemního plynu, 20.8.2026 23:51:11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Vedoucí těžebního střediska ropy a zemního plynu, 20.8.2026 23:51:11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