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8A706" Type="http://schemas.openxmlformats.org/officeDocument/2006/relationships/officeDocument" Target="/word/document.xml" /><Relationship Id="coreR5D58A706" Type="http://schemas.openxmlformats.org/package/2006/relationships/metadata/core-properties" Target="/docProps/core.xml" /><Relationship Id="customR5D58A7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11:44:56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dobývacího stroje v porubu včetně provádění směnové údržby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dobývací stroje (kombajn, pluh) a ostatní vybavení porubu a vysvětlit jejich funkci, včetně ovládání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dobývacím strojem a k jeho běžné údržbě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komunikaci a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Předvést ovládání dobývacího stroje (kombajnu, pluhu) a ostatních strojů na pracovišti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9"/>
        <w:rPr>
          <w:rStyle w:val="C18"/>
          <w:rtl w:val="0"/>
        </w:rPr>
      </w:pPr>
      <w:r>
        <w:rPr>
          <w:rStyle w:val="C18"/>
          <w:rtl w:val="0"/>
        </w:rPr>
        <w:t>Obsluha razicího stroje pro ražení důlních děl, včetně provádění směnové údržby</w:t>
      </w:r>
    </w:p>
    <w:p>
      <w:pPr>
        <w:pStyle w:val="P24"/>
        <w:framePr w:w="6713" w:h="376" w:hRule="exact" w:wrap="none" w:vAnchor="page" w:hAnchor="margin" w:x="45" w:y="79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a) Popsat a předvést ovládání a provoz razicího kombajnu a razicího komplexu a vysvětlit jejich funkci, včetně ovládání</w:t>
      </w:r>
    </w:p>
    <w:p>
      <w:pPr>
        <w:pStyle w:val="P28"/>
        <w:framePr w:w="3921" w:h="607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razicím strojem a k jeho běžné údržbě</w:t>
      </w:r>
    </w:p>
    <w:p>
      <w:pPr>
        <w:pStyle w:val="P28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Předvést komunikaci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11:44:56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vrtacího vozu a nakládacího zařízení pro ražení důlních děl včetně provádění směnové údržby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předvést obsluhu vrtacího vozu a nakládacího zařízení a vysvětlit jejich funkci, včetně ovládání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vrtacím vozem a nakládacím zařízením a k jejich běžné údržbě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komunikaci včetně zvukové a světelné signalizace se členy osádky při obsluze a při provádění údržby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Indikace důlních větrů</w:t>
      </w:r>
    </w:p>
    <w:p>
      <w:pPr>
        <w:pStyle w:val="P24"/>
        <w:framePr w:w="6713" w:h="376" w:hRule="exact" w:wrap="none" w:vAnchor="page" w:hAnchor="margin" w:x="45" w:y="7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73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8"/>
        <w:framePr w:w="3921" w:h="607" w:hRule="exact" w:wrap="none" w:vAnchor="page" w:hAnchor="margin" w:x="6800" w:y="7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0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plynu, provést měření a určit další postup po zjištění naměřené hodnoty</w:t>
      </w:r>
    </w:p>
    <w:p>
      <w:pPr>
        <w:pStyle w:val="P30"/>
        <w:framePr w:w="3921" w:h="607" w:hRule="exact" w:wrap="none" w:vAnchor="page" w:hAnchor="margin" w:x="6800" w:y="8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7"/>
        <w:rPr>
          <w:rStyle w:val="C11"/>
          <w:rtl w:val="0"/>
        </w:rPr>
      </w:pPr>
      <w:r>
        <w:rPr>
          <w:rStyle w:val="C11"/>
          <w:rtl w:val="0"/>
        </w:rPr>
        <w:t>c) Zvolit umístění stacionárního měřicího zařízení důlních větrů a důlních plynů</w:t>
      </w:r>
    </w:p>
    <w:p>
      <w:pPr>
        <w:pStyle w:val="P28"/>
        <w:framePr w:w="3921" w:h="607" w:hRule="exact" w:wrap="none" w:vAnchor="page" w:hAnchor="margin" w:x="6800" w:y="8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87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10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58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chodu zařízení, doplňování provozních kapalin a provedených úkonech běžné údržby</w:t>
      </w:r>
    </w:p>
    <w:p>
      <w:pPr>
        <w:pStyle w:val="P28"/>
        <w:framePr w:w="3921" w:h="607" w:hRule="exact" w:wrap="none" w:vAnchor="page" w:hAnchor="margin" w:x="6800" w:y="106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65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poruchách a opravách zařízení</w:t>
      </w:r>
    </w:p>
    <w:p>
      <w:pPr>
        <w:pStyle w:val="P30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65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130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338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444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v technických, bezpečnostních, provozních předpisech, v dokumentaci obsluhovaných strojních zařízení relevantní informace, stanovující závazná pravidla pro obsluhu, řízení a údržbu obsluhovaných zařízení</w:t>
      </w:r>
    </w:p>
    <w:p>
      <w:pPr>
        <w:pStyle w:val="P28"/>
        <w:framePr w:w="3921" w:h="1055" w:hRule="exact" w:wrap="none" w:vAnchor="page" w:hAnchor="margin" w:x="6800" w:y="1338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4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11:44:56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11:44:56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11:44:56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843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11:44:56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důlní pracoviště vybavené dobývacím a razicím strojem 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(dobývací stroje, razicí stroje, rubání, čelby, těžní a výdušné třídy)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nářadí a nástrojů, osobní ochranné pracovní prostředky a ostatní potřebné náležitosti k provádění zadané operace s dobývacím a razicím strojem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po dobu platnosti autorizace.</w:t>
      </w:r>
    </w:p>
    <w:p>
      <w:pPr>
        <w:pStyle w:val="P33"/>
        <w:framePr w:w="10766" w:h="1847" w:hRule="exact" w:wrap="none" w:vAnchor="page" w:hAnchor="margin" w:x="0" w:y="66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3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11:44:56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11:44:56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172E2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ED495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7F57F4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5DBEBA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