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50D4B" Type="http://schemas.openxmlformats.org/officeDocument/2006/relationships/officeDocument" Target="/word/document.xml" /><Relationship Id="coreRF250D4B" Type="http://schemas.openxmlformats.org/package/2006/relationships/metadata/core-properties" Target="/docProps/core.xml" /><Relationship Id="customRF250D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kombajnér / hornice kombajnérka rubání a ražení (kód: 21-033-H)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kombajnér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dobývacího stroje v porubu včetně provádění směnové údržby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razicího stroje pro ražení důlních děl, včetně provádění směnové údržby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vrtacího vozu a nakládacího zařízení pro ražení důlních děl včetně provádění směnové údržby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důlních větrů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splňovat podmínky dle § 225 odstavce 2) zákona č. 22/1989 Sb. zákon o bezpečnosti a ochraně zdraví při práci v hornictví v podzemí.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kombajnér / hornice kombajnérka rubání a ražení, 17.4.2026 8:15:19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