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662D9A" Type="http://schemas.openxmlformats.org/officeDocument/2006/relationships/officeDocument" Target="/word/document.xml" /><Relationship Id="coreR1E662D9A" Type="http://schemas.openxmlformats.org/package/2006/relationships/metadata/core-properties" Target="/docProps/core.xml" /><Relationship Id="customR1E662D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kombajnér / hornice kombajnérka rubání a ražení (kód: 21-033-H)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kombajnér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dobývacího stroje v porubu včetně provádění směnové údržby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razicího stroje pro ražení důlních děl, včetně provádění směnové údržby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vrtacího vozu a nakládacího zařízení pro ražení důlních děl včetně provádění směnové údržby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Indikace důlních větrů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20.10.2026 8:49:27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splňovat podmínky dle § 225 odstavce 2) zákona č. 22/1989 Sb. zákon o bezpečnosti a ochraně zdraví při práci v hornictví v podzemí.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20.10.2026 8:49:27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těžbu a úpravu nerostných surovin, ustavená a licencovaná pro tuto činnost HK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20.10.2026 8:49:27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