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A31E68" Type="http://schemas.openxmlformats.org/officeDocument/2006/relationships/officeDocument" Target="/word/document.xml" /><Relationship Id="coreR9A31E68" Type="http://schemas.openxmlformats.org/package/2006/relationships/metadata/core-properties" Target="/docProps/core.xml" /><Relationship Id="customR9A31E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kombajnér / hornice kombajnérka rubání a ražení (kód: 21-033-H)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kombajnér rubání a ražení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dobývacího stroje v porubu včetně provádění směnové údržby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razicího stroje pro ražení důlních děl, včetně provádění směnové údržby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vrtacího vozu a nakládacího zařízení pro ražení důlních děl včetně provádění směnové údržby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Indikace důlních větrů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provádění prací při likvidaci anomálních stavů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30.9.2026 2:39:24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musí splňovat podmínky dle § 225 odstavce 2) zákona č. 22/1989 Sb. zákon o bezpečnosti a ochraně zdraví při práci v hornictví v podzemí.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30.9.2026 2:39:24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těžbu a úpravu nerostných surovin, ustavená a licencovaná pro tuto činnost HK ČR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30.9.2026 2:39:24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