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734C26" Type="http://schemas.openxmlformats.org/officeDocument/2006/relationships/officeDocument" Target="/word/document.xml" /><Relationship Id="coreR78734C26" Type="http://schemas.openxmlformats.org/package/2006/relationships/metadata/core-properties" Target="/docProps/core.xml" /><Relationship Id="customR78734C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Horník kombajnér rubání a ražení (kód: 21-033-H)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kombajnér rubání a ražení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dobývacího stroje v porubu včetně provádění směnové údržby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razicího stroje pro ražení důlních děl, včetně provádění směnové údržby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vrtacího vozu a nakládacího zařízení pro ražení důlních děl včetně provádění směnové údržby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Indikace důlních větrů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řízení, obsluhy a běžné údržby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rubání a ražení, 20.10.2026 10:42:41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- http://katalog.nsp.cz/karta_p.aspx?id_jp=12&amp;kod_sm1=27).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samostatnou obsluhou dobývacího nebo razicího stroje a důlního bezkolejového stroje může být pověřen pracovník s nejméně roční praxí při provozu těchto strojů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zácvik při provozu těchto strojů podle § 15 vyhl. č. 22/1989 Sb. musí být nejméně 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200 hodin.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Tato zkouška z profesní kvalifikace nezaručuje splnění všech právních požadavků na výkon daného povolání – je zapotřebí splnit všechny požadavky stanovené právními předpisy 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této profese – především § 12, § 15 a § 225 vyhlášky č. 22/1989 Sb., o bezpečnosti a ochraně zdraví při práci a bezpečnosti provozu při hornické činnosti a při dobývání nevyhrazených nerostů v podzemí, ve znění pozdějších předpisů.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rubání a ražení, 20.10.2026 10:42:41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zpracování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rubání a ražení, 20.10.2026 10:42:41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