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21DA4" Type="http://schemas.openxmlformats.org/officeDocument/2006/relationships/officeDocument" Target="/word/document.xml" /><Relationship Id="coreR68121DA4" Type="http://schemas.openxmlformats.org/package/2006/relationships/metadata/core-properties" Target="/docProps/core.xml" /><Relationship Id="customR68121D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samostatnou obsluhou dobývacího nebo razicího stroje a důlního bezkolejového stroje může být pověřen pracovník s nejméně roční praxí při provozu těchto strojů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zácvik při provozu těchto strojů podle § 15 vyhl. č. 22/1989 Sb. musí být nejméně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hodin.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– je zapotřebí splnit všechny požadavky stanovené právními předpisy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30.9.2026 5:55:27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