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606DB" Type="http://schemas.openxmlformats.org/officeDocument/2006/relationships/officeDocument" Target="/word/document.xml" /><Relationship Id="coreR473606DB" Type="http://schemas.openxmlformats.org/package/2006/relationships/metadata/core-properties" Target="/docProps/core.xml" /><Relationship Id="customR473606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provádění prací při ražení vertikálních důlních děl, nárazišť, větrních a dopravních kanálů nebo jejich rozšiřování na nově projektovaný profil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bezpečných postupů práce jím řízené pracovní skupiny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prací dle technologického postupu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zařízení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10:11:55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předákem může být jen ten, kdo má potřebnou odbornou praxi a složil zkoušku z odborných znalostí a z příslušných předpisů k zajištění bezpečnosti práce a provozu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předák pro vedení důlních děl musí mít nejméně tříletou odbornou praxi při vedení důlních děl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- je zapotřebí splnit všechny požadavky stanovené právními předpisy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15, § 19 odst. 2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10:11:55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10:11:55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