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5778A2" Type="http://schemas.openxmlformats.org/officeDocument/2006/relationships/officeDocument" Target="/word/document.xml" /><Relationship Id="coreR125778A2" Type="http://schemas.openxmlformats.org/package/2006/relationships/metadata/core-properties" Target="/docProps/core.xml" /><Relationship Id="customR125778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suchých podlah (kód: 36-065-H)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suchých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pozemních staveb a používání technické dokumentace konstrukcí suchých staveb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montáže suchých podlah stanovených výrobci a technickými předpisy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postupů, volba materiálů, nářadí a pomůcek pro provádění suchých podlah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Doprava a skladování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Upravování rozměrů a tvarů desek a konstrukčních materiálů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suchých plovoucích podlah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 do: 11.10.2025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suchých podlah, 20.10.2026 10:46:18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http://katalog.nsp.cz/karta_p.aspx?id_jp=2100&amp;kod_sm1=41).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suchých podlah, 20.10.2026 10:46:18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řemeslná, ustavená a licencovaná pro tuto činnost HK ČR a SP ČR (AK ČR).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suché výstavby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suchých podlah, 20.10.2026 10:46:18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