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1C5AB9" Type="http://schemas.openxmlformats.org/officeDocument/2006/relationships/officeDocument" Target="/word/document.xml" /><Relationship Id="coreR441C5AB9" Type="http://schemas.openxmlformats.org/package/2006/relationships/metadata/core-properties" Target="/docProps/core.xml" /><Relationship Id="customR441C5A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tiskařské práce, potřebných pomůcek a barev na velkoformátových digitálních tiskových strojích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Převzetí výrobních podkladů pro tisk nové zakázky na velkoformátových digitálních tiskových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Převzetí a příprava potiskovaného materiálu a inkoustů na velkoformátových digitálních tiskových strojích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seřízení velkoformátových digitálních tiskových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Dodržení normativu při tisku celé zakázky na velkoformátových digitálních tiskových strojích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Dokončení tisku, předání zakázky na velkoformátových digitálních tiskových strojích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Kontrola, údržba a čištění velkoformátových digitálních tiskových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20.10.2026 12:02:31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vykonávání pracovních činností této profesní kvalifikace je vyžadována a prokazuje se lékařským potvrzením s ohledem na 2. stupeň zátěže (odkaz na povolání v NSP – https://www.nsp.cz/jednotka-prace/operator-velkoformatovych#zdravotni-zpusobilost),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digitálního tisku a opírá se o tyto normy: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Parametry a metody měření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a pravidel BOZP a PO v jejím průběhu.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20.10.2026 12:02:31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Mediacore,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a VOŠ Grafická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Dataline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Sprint servis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velkoformátových digitálních tiskových strojů, 20.10.2026 12:02:31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