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030AE4" Type="http://schemas.openxmlformats.org/officeDocument/2006/relationships/officeDocument" Target="/word/document.xml" /><Relationship Id="coreRE030AE4" Type="http://schemas.openxmlformats.org/package/2006/relationships/metadata/core-properties" Target="/docProps/core.xml" /><Relationship Id="customRE030A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velkoformátových digitálních tiskových strojů (kód: 34-034-H)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velkoformátových digitálních tiskových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tiskařské práce, potřebných pomůcek a barev na velkoformátových digitálních tiskových strojích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Převzetí výrobních podkladů pro tisk nové zakázky na velkoformátových digitálních tiskových strojích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Převzetí a příprava potiskovaného materiálu a inkoustů na velkoformátových digitálních tiskových strojích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seřízení velkoformátových digitálních tiskových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Dodržení normativu při tisku celé zakázky na velkoformátových digitálních tiskových strojích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Dokončení tisku, předání zakázky na velkoformátových digitálních tiskových strojích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Kontrola, údržba a čištění velkoformátových digitálních tiskových 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velkoformátových digitálních tiskových strojů, 9.9.2026 21:50:41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pro vykonávání pracovních činností této profesní kvalifikace je vyžadována a prokazuje se lékařským potvrzením s ohledem na 2. stupeň zátěže (odkaz na povolání v NSP – https://www.nsp.cz/jednotka-prace/operator-velkoformatovych#zdravotni-zpusobilost),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digitálního tisku a opírá se o tyto normy: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Parametry a metody měření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a pravidel BOZP a PO v jejím průběhu.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velkoformátových digitálních tiskových strojů, 9.9.2026 21:50:41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Mediacore,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Grafická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Dataline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Sprint servis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velkoformátových digitálních tiskových strojů, 9.9.2026 21:50:41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