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CBAB8" Type="http://schemas.openxmlformats.org/officeDocument/2006/relationships/officeDocument" Target="/word/document.xml" /><Relationship Id="coreR3C0CBAB8" Type="http://schemas.openxmlformats.org/package/2006/relationships/metadata/core-properties" Target="/docProps/core.xml" /><Relationship Id="customR3C0CBA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zhotovení tiskových forem (kód: 34-035-H)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zhotovení tiskových forem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17.4.2026 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Reprodukční grafik (kód: 34-53-H/01)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6"/>
        <w:framePr w:w="10710" w:h="113" w:hRule="exact" w:wrap="none" w:vAnchor="page" w:hAnchor="margin" w:x="28" w:y="6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2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78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326"/>
        <w:rPr>
          <w:rStyle w:val="C13"/>
          <w:rtl w:val="0"/>
        </w:rPr>
      </w:pPr>
      <w:r>
        <w:rPr>
          <w:rStyle w:val="C13"/>
          <w:rtl w:val="0"/>
        </w:rPr>
        <w:t>Úplnou profesní kvalifikaci Grafik pro média (kód: 34-99-H/06)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Art grafik/grafička (kód: 34-017-H)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Operátor/operátorka DTP (kód: 34-015-H)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Operátor/operátorka zhotovení tiskových forem (kód: 34-035-H)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Správce/správkyně tiskových dat (kód: 34-036-H)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Operátor zhotovení tiskových forem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zhotovení tiskových forem, 17.4.2026 1:47:09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