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D7F23" Type="http://schemas.openxmlformats.org/officeDocument/2006/relationships/officeDocument" Target="/word/document.xml" /><Relationship Id="coreR70ED7F23" Type="http://schemas.openxmlformats.org/package/2006/relationships/metadata/core-properties" Target="/docProps/core.xml" /><Relationship Id="customR70ED7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Archivování a vedení kompletní dokumentace tiskové zakázky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20.10.2026 8:47:10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za-danou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Orientace v normách a platných technologických postupech výroby tiskových forem a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 nebo c) u kompetencí Orientace v normách a platných technologických postupech výroby tiskových forem a Zhotovování komplexních elektronických tiskových podkladů pro výrobu tiskových forem s využitím grafických počítačových programů lze s ohledem na technické a technologické podmínky autorizované osoby ověřovat a informaci, zda ověřování jednotlivých kompetencí proběhne v provozním nebo v simulovaném prostředí. Z variant, které umožňuje jak tento hodnoticí standard, tak podmínky autorizované osoby, si uchazeč vybere jednu tiskovou techniku. O vybrané tiskové technice (případně o vybraných variantách b) nebo c) u kompetencí Orientace v normách a platných technologických postupech výroby tiskových forem a Zhotovování komplexních elektronických tiskových podkladů pro výrobu tiskových forem s využitím grafických počítačových programů – budou-li obě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20.10.2026 8:47:10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tiskových dat, 20.10.2026 8:47:10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