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5BF20" Type="http://schemas.openxmlformats.org/officeDocument/2006/relationships/officeDocument" Target="/word/document.xml" /><Relationship Id="coreRDA5BF20" Type="http://schemas.openxmlformats.org/package/2006/relationships/metadata/core-properties" Target="/docProps/core.xml" /><Relationship Id="customRDA5BF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Archivování a vedení kompletní dokumentace tiskové zakázky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20.8.2026 15:44:33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za-danou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Orientace v normách a platných technologických postupech výroby tiskových forem a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 nebo c) u kompetencí Orientace v normách a platných technologických postupech výroby tiskových forem a Zhotovování komplexních elektronických tiskových podkladů pro výrobu tiskových forem s využitím grafických počítačových programů lze s ohledem na technické a technologické podmínky autorizované osoby ověřovat a informaci, zda ověřování jednotlivých kompetencí proběhne v provozním nebo v simulovaném prostředí. Z variant, které umožňuje jak tento hodnoticí standard, tak podmínky autorizované osoby, si uchazeč vybere jednu tiskovou techniku. O vybrané tiskové technice (případně o vybraných variantách b) nebo c) u kompetencí Orientace v normách a platných technologických postupech výroby tiskových forem a Zhotovování komplexních elektronických tiskových podkladů pro výrobu tiskových forem s využitím grafických počítačových programů – budou-li obě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20.8.2026 15:44:33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20.8.2026 15:44:33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