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3C2BC" Type="http://schemas.openxmlformats.org/officeDocument/2006/relationships/officeDocument" Target="/word/document.xml" /><Relationship Id="coreR7013C2BC" Type="http://schemas.openxmlformats.org/package/2006/relationships/metadata/core-properties" Target="/docProps/core.xml" /><Relationship Id="customR7013C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plánu mediální kampaně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plánu mediální kampaně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plánu mediální kampaně na základě zadání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zpracování mediální kampaně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Zpracovat plán mediální kampaně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Výběr vhodných médií, míst a časů pro umístění reklamního sdělení s ohledem na zadání klienta</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dostupná média vhodná pro dané zadání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Charakterizovat výhody a nevýhody jednotlivých médií v souvislosti se zadáním</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Navrhnout vhodné umístění a načasování reklamního sdělení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Zpracování rozpočtů mediální kampaně zadané klientem včetně vyjednání cen v médiích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jednotlivé položky rozpočtu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Popsat práci s jednotlivými položkami rozpočtu</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Předvést způsob vyjednání ceny se zástupci médií, včetně slev</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Zpracovat rozpočet mediální kampaně</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Orientace v odborném mediálním názvosloví</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Vysvětlit význam 10ti zadaných odborných výrazů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Písemné a ústní ověření</w:t>
      </w:r>
    </w:p>
    <w:p>
      <w:pPr>
        <w:pStyle w:val="P32"/>
        <w:framePr w:w="10710" w:h="248" w:hRule="exact" w:wrap="none" w:vAnchor="page" w:hAnchor="margin" w:x="28" w:y="1172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Získávání aktuálních dat a informací z médií pro zpracování plánu mediální kampaně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 obecné rovině způsob získání dat a informací z existujících médií v daném čase na trhu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proces získávání dat z televizního trhu a jejich aplikaci do plánu mediální kampaně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proces získávání dat z trhu tiskových médií a jejich aplikaci do plánu mediální kampaně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proces získávání dat z internetového trhu a jejich aplikaci do plánu mediální kampaně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proces získávání dat z rozhlasového trhu a jejich aplikaci do plánu mediální kampaně</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f) Vysvětlit proces získávání dat z trhu outdoorové/indoorové reklamy a jejich aplikaci do  plánu mediální kampaně</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Předvést návazně na modelové zadání kampaně komunikaci s jedním subjektem při získávání aktuálních dat a informací potřebných pro zpracování plánu mediální kampaně</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a g) a dvě z kritérií b) až f).</w:t>
      </w:r>
    </w:p>
    <w:p>
      <w:pPr>
        <w:pStyle w:val="P23"/>
        <w:framePr w:w="10710" w:h="340" w:hRule="exact" w:wrap="none" w:vAnchor="page" w:hAnchor="margin" w:x="28" w:y="7991"/>
        <w:rPr>
          <w:rStyle w:val="C18"/>
          <w:rtl w:val="0"/>
        </w:rPr>
      </w:pPr>
      <w:r>
        <w:rPr>
          <w:rStyle w:val="C18"/>
          <w:rtl w:val="0"/>
        </w:rPr>
        <w:t>Interní prezentace plánu mediální kampaně a rozpočtu</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Prezentovat část plánu mediální kampaně interně v rámci pracovního týmu</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s ústním zdůvodněním</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Prezentovat část rozpočtu plánu mediální kampaně interně v rámci pracovního týmu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s ústním zdůvodněním</w:t>
      </w:r>
    </w:p>
    <w:p>
      <w:pPr>
        <w:pStyle w:val="P32"/>
        <w:framePr w:w="10710" w:h="248" w:hRule="exact" w:wrap="none" w:vAnchor="page" w:hAnchor="margin" w:x="28" w:y="101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modelová zadání kampaně pro zpracování plánu mediální kampaně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Získávání aktuálních dat a informací z médií pro zpracování plánu mediální kampaně a Interní prezentace plánu mediální kampaně a rozpočtu. Modelová zadání kampaně jsou formulována z pohledu klienta a jejich náročnost musí být adekvátní době vymezené pro zkoušku.</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plánu mediální kampaně a rozpočtu a při jejich prezentaci.</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Získávání aktuálních dat a informací z médií pro zpracování plánu mediální kampaně, která podle tohoto hodnoticího standardu při ověřování umožňuje více kombinací splnění kritérií, protože není nutné splnit všechna kritéria, si uchazeč zvolí kromě kritérií a) a g) dvě libovolná kritéria b) až f). O zvolených variantách uchazeč informuje autorizovanou osobu bezprostředně po vylosování modelového zadání kampaně. </w:t>
      </w:r>
    </w:p>
    <w:p>
      <w:pPr>
        <w:pStyle w:val="P33"/>
        <w:framePr w:w="10766" w:h="2072" w:hRule="exact" w:wrap="none" w:vAnchor="page" w:hAnchor="margin" w:x="0" w:y="8283"/>
        <w:rPr>
          <w:rStyle w:val="C3"/>
          <w:rtl w:val="0"/>
        </w:rPr>
      </w:pPr>
    </w:p>
    <w:p>
      <w:pPr>
        <w:pStyle w:val="P35"/>
        <w:framePr w:w="10710" w:h="340" w:hRule="exact" w:wrap="none" w:vAnchor="page" w:hAnchor="margin" w:x="28" w:y="8283"/>
        <w:rPr>
          <w:rStyle w:val="C25"/>
          <w:rtl w:val="0"/>
        </w:rPr>
      </w:pPr>
      <w:r>
        <w:rPr>
          <w:rStyle w:val="C25"/>
          <w:rtl w:val="0"/>
        </w:rPr>
        <w:t>Výsledné hodnocení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marketingu, mediálních a reklamních agentur.</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marketingu, mediálních a reklamních agentur nebo ve funkci učitele odborných předmětů v oblasti marketingu a médií.</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připojením k internetu, LCD obrazovka, dataprojektor, učebna.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Doba trvání písemné části zkoušky jednoho uchazeče je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Mediální plánovač, 31.7.2026 11:28:00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472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6A5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