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C1027" Type="http://schemas.openxmlformats.org/officeDocument/2006/relationships/officeDocument" Target="/word/document.xml" /><Relationship Id="coreR4EAC1027" Type="http://schemas.openxmlformats.org/package/2006/relationships/metadata/core-properties" Target="/docProps/core.xml" /><Relationship Id="customR4EAC1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štukatér (kód: 82-011-H)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a materiálů pro štukatérské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forem pro štukatérskou práci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Sesazení a modelace štukových slohových prvků a modelů z tažených sádrových profilů do lukoprénových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modelování plastických prvků štukatérské výzdoby podle předlohy nebo výtvarného návrhu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štukatérské výzdoby v interiéru a exteriéru budov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štukových, sgrafitových a jiných dekoračních omítek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vhodného druhu formy pro vytvoření modelu balustrádní kuželky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https://www.nsp.cz/jednotka-prace/umelecky-stukater#zdravotni-zpusobilost).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podle tohoto standardu by mělo představovat komplex navazujících činností vedoucích k dohotovení finálních produktů s využitím příslušných technologických postupů a technik. Při ověřování kompetencí zejména formou praktického předvedení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Janík – OSVČ, umělecký štukatér a učitel praktického vyučování na SOŠ uměleckořemeslné,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štukatér, 20.10.2026 12:54:29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