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5ADE8" Type="http://schemas.openxmlformats.org/officeDocument/2006/relationships/officeDocument" Target="/word/document.xml" /><Relationship Id="coreR2065ADE8" Type="http://schemas.openxmlformats.org/package/2006/relationships/metadata/core-properties" Target="/docProps/core.xml" /><Relationship Id="customR2065AD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šablon pro tažení architektonických prvků pro interiéry a exteriéry stavebně historických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Sesazení a modelace štukových slohových prvků a modelů z tažených sádrových profilů do lukoprénových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modelování plastických prvků štukatérské výzdoby podle předlohy nebo výtvarného návrhu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štukatérské výzdoby v interiéru a exteriéru budov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štukových, sgrafitových a jiných dekoračních omítek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Vytvoření modelu balustrádní kuželky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