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E6A8B2" Type="http://schemas.openxmlformats.org/officeDocument/2006/relationships/officeDocument" Target="/word/document.xml" /><Relationship Id="coreR30E6A8B2" Type="http://schemas.openxmlformats.org/package/2006/relationships/metadata/core-properties" Target="/docProps/core.xml" /><Relationship Id="customR30E6A8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a materiálů pro štukatérské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forem pro štukatérskou práci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šablon pro tažení architektonických prvků pro interiéry a exteriéry stavebně historických objektů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Sesazení a modelace štukových slohových prvků a modelů z tažených sádrových profilů do lukoprénových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modelování plastických prvků štukatérské výzdoby podle předlohy nebo výtvarného návrhu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štukatérské výzdoby v interiéru a exteriéru budov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štukových, sgrafitových a jiných dekoračních omítek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Vytvoření modelu balustrádní kuželky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20.10.2026 8:51:34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20.10.2026 8:51:34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Akant Art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Janík – OSVČ, umělecký štukatér a učitel praktického vyučování na SOŠ uměleckořemeslné,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20.10.2026 8:51:34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